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1A5C9E9A" w14:textId="64350759" w:rsidR="00185DA1" w:rsidRPr="0052348C" w:rsidRDefault="00955EDF" w:rsidP="00185DA1">
      <w:pPr>
        <w:pStyle w:val="ekvue1arial"/>
      </w:pPr>
      <w:r>
        <w:t>Kehrt das Ozonloch zurück?</w:t>
      </w:r>
    </w:p>
    <w:p w14:paraId="6E3D4A1E" w14:textId="77777777" w:rsidR="00185DA1" w:rsidRPr="0052348C" w:rsidRDefault="00185DA1" w:rsidP="00185DA1"/>
    <w:p w14:paraId="10508323" w14:textId="77777777" w:rsidR="00955EDF" w:rsidRDefault="00955EDF" w:rsidP="00955EDF">
      <w:pPr>
        <w:rPr>
          <w:rFonts w:asciiTheme="minorHAnsi" w:hAnsiTheme="minorHAnsi"/>
          <w:sz w:val="24"/>
        </w:rPr>
      </w:pPr>
      <w:r>
        <w:t>In immer wiederkehrenden Abständen verändert sich die Ozonkonzentration in der Stratosphäre über der Antarktis. Wenn sie gering ist, spricht man vom Ozonloch. In Satellitenaufnahmen, die die gemessenen Ozonwerte zeigen, sieht dieser Bereich tatsächlich wie ein Loch in der Atmosphäre aus. Verantwortlich für die Verringerung der Ozonkonzentration sind vorwiegend Chlor-Atome, die mit dem Ozon reagieren und es so zerstören. Im Südpolarwinter werden Verbindungen, die Chlor-Atome enthalten, in Stratosphärenwolken gespeichert und im Südpolarfrühling in großer Zahl freigesetzt. Die durch Zerfall der Verbindungen entstehenden Chlor-Atome können dann ihr zerstörerisches Werk beginnen.</w:t>
      </w:r>
    </w:p>
    <w:p w14:paraId="62666D0D" w14:textId="6167D1AF" w:rsidR="006C231A" w:rsidRDefault="006C231A" w:rsidP="00955EDF">
      <w:pPr>
        <w:rPr>
          <w:rStyle w:val="ekvkursiv"/>
        </w:rPr>
      </w:pPr>
    </w:p>
    <w:p w14:paraId="32B30CDE" w14:textId="6AD9F100" w:rsidR="00955EDF" w:rsidRPr="00955EDF" w:rsidRDefault="00955EDF" w:rsidP="00955EDF">
      <w:pPr>
        <w:pStyle w:val="ekvaufzhlung1"/>
      </w:pPr>
      <w:r w:rsidRPr="00EB5DA5">
        <w:rPr>
          <w:rStyle w:val="ekvnummerierung"/>
        </w:rPr>
        <w:t>1.</w:t>
      </w:r>
      <w:r>
        <w:tab/>
      </w:r>
      <w:r w:rsidRPr="00955EDF">
        <w:t>Die wichtigsten Verbindungen, die in diesen Bereich der Stratosphäre gelangen können, sind die Fluor-Chlor-Kohlenwasserstoffe (FCKW).</w:t>
      </w:r>
    </w:p>
    <w:p w14:paraId="1A0181E8" w14:textId="19D2A8EB" w:rsidR="00955EDF" w:rsidRPr="00576BE3" w:rsidRDefault="00955EDF" w:rsidP="00491A7F">
      <w:pPr>
        <w:pStyle w:val="ekvaufzhlung2"/>
        <w:tabs>
          <w:tab w:val="clear" w:pos="1134"/>
          <w:tab w:val="clear" w:pos="1276"/>
          <w:tab w:val="clear" w:pos="1474"/>
          <w:tab w:val="clear" w:pos="1531"/>
        </w:tabs>
        <w:ind w:left="1134" w:hanging="425"/>
        <w:rPr>
          <w:rStyle w:val="ekvfett"/>
          <w:b w:val="0"/>
          <w:bCs/>
        </w:rPr>
      </w:pPr>
      <w:r w:rsidRPr="00576BE3">
        <w:rPr>
          <w:rStyle w:val="ekvfett"/>
          <w:b w:val="0"/>
          <w:bCs/>
        </w:rPr>
        <w:t>a)</w:t>
      </w:r>
      <w:r w:rsidR="00491A7F" w:rsidRPr="00576BE3">
        <w:rPr>
          <w:rStyle w:val="ekvfett"/>
          <w:b w:val="0"/>
          <w:bCs/>
        </w:rPr>
        <w:tab/>
      </w:r>
      <w:r w:rsidRPr="00576BE3">
        <w:rPr>
          <w:rStyle w:val="ekvfett"/>
          <w:b w:val="0"/>
          <w:bCs/>
        </w:rPr>
        <w:t>Informiere dich über die (frühere) Verwendung der FCKW. Schreibe einige Beispiele auf.</w:t>
      </w:r>
    </w:p>
    <w:p w14:paraId="46E17247" w14:textId="17F7D47E" w:rsidR="00955EDF" w:rsidRPr="00576BE3" w:rsidRDefault="00955EDF" w:rsidP="00491A7F">
      <w:pPr>
        <w:pStyle w:val="ekvaufzhlung2"/>
        <w:tabs>
          <w:tab w:val="clear" w:pos="1134"/>
          <w:tab w:val="clear" w:pos="1276"/>
          <w:tab w:val="clear" w:pos="1474"/>
          <w:tab w:val="clear" w:pos="1531"/>
        </w:tabs>
        <w:ind w:left="1134" w:hanging="425"/>
        <w:rPr>
          <w:rStyle w:val="ekvfett"/>
          <w:b w:val="0"/>
          <w:bCs/>
        </w:rPr>
      </w:pPr>
      <w:r w:rsidRPr="00576BE3">
        <w:rPr>
          <w:rStyle w:val="ekvfett"/>
          <w:b w:val="0"/>
          <w:bCs/>
        </w:rPr>
        <w:t>b)</w:t>
      </w:r>
      <w:r w:rsidR="00491A7F" w:rsidRPr="00576BE3">
        <w:rPr>
          <w:rStyle w:val="ekvfett"/>
          <w:b w:val="0"/>
          <w:bCs/>
        </w:rPr>
        <w:tab/>
      </w:r>
      <w:r w:rsidRPr="00576BE3">
        <w:rPr>
          <w:rStyle w:val="ekvfett"/>
          <w:b w:val="0"/>
          <w:bCs/>
        </w:rPr>
        <w:t>Die Verweilzeit der FCKW in der Atmosphäre beträgt ca. 50 Jahre. Beurteile, wie lange die bis 1995 hergestellten FCKW die Ozonkonzentration über der Antarktis noch beeinflussen.</w:t>
      </w:r>
    </w:p>
    <w:p w14:paraId="51E9F531" w14:textId="3D6E989E" w:rsidR="00955EDF" w:rsidRPr="00576BE3" w:rsidRDefault="00955EDF" w:rsidP="00491A7F">
      <w:pPr>
        <w:pStyle w:val="ekvaufzhlung2"/>
        <w:tabs>
          <w:tab w:val="clear" w:pos="1134"/>
          <w:tab w:val="clear" w:pos="1276"/>
          <w:tab w:val="clear" w:pos="1474"/>
          <w:tab w:val="clear" w:pos="1531"/>
        </w:tabs>
        <w:ind w:left="1134" w:hanging="425"/>
        <w:rPr>
          <w:rStyle w:val="ekvfett"/>
          <w:b w:val="0"/>
          <w:bCs/>
        </w:rPr>
      </w:pPr>
      <w:r w:rsidRPr="00576BE3">
        <w:rPr>
          <w:rStyle w:val="ekvfett"/>
          <w:b w:val="0"/>
          <w:bCs/>
        </w:rPr>
        <w:t>c)</w:t>
      </w:r>
      <w:r w:rsidR="00491A7F" w:rsidRPr="00576BE3">
        <w:rPr>
          <w:rStyle w:val="ekvfett"/>
          <w:b w:val="0"/>
          <w:bCs/>
        </w:rPr>
        <w:tab/>
      </w:r>
      <w:r w:rsidRPr="00576BE3">
        <w:rPr>
          <w:rStyle w:val="ekvfett"/>
          <w:b w:val="0"/>
          <w:bCs/>
        </w:rPr>
        <w:t>Die Formel eines Vertreters der FCKW ist CClF3 (Chlor-</w:t>
      </w:r>
      <w:proofErr w:type="spellStart"/>
      <w:r w:rsidRPr="00576BE3">
        <w:rPr>
          <w:rStyle w:val="ekvfett"/>
          <w:b w:val="0"/>
          <w:bCs/>
        </w:rPr>
        <w:t>trifluor</w:t>
      </w:r>
      <w:proofErr w:type="spellEnd"/>
      <w:r w:rsidRPr="00576BE3">
        <w:rPr>
          <w:rStyle w:val="ekvfett"/>
          <w:b w:val="0"/>
          <w:bCs/>
        </w:rPr>
        <w:t>-methan). Stelle dar, wie dieses Molekül unter dem Einfluss der Sonnenstrahlung zersetzt werden kann, um dann mit Ozon zu reagieren.</w:t>
      </w:r>
    </w:p>
    <w:p w14:paraId="17704C1E" w14:textId="77777777" w:rsidR="00955EDF" w:rsidRDefault="00955EDF" w:rsidP="00955EDF"/>
    <w:p w14:paraId="4A24E347" w14:textId="2F56927E" w:rsidR="00955EDF" w:rsidRPr="00955EDF" w:rsidRDefault="00955EDF" w:rsidP="00955EDF">
      <w:pPr>
        <w:pStyle w:val="ekvaufzhlung1"/>
      </w:pPr>
      <w:r w:rsidRPr="00EB5DA5">
        <w:rPr>
          <w:rStyle w:val="ekvnummerierung"/>
        </w:rPr>
        <w:t>2.</w:t>
      </w:r>
      <w:r>
        <w:tab/>
      </w:r>
      <w:r w:rsidRPr="00955EDF">
        <w:t xml:space="preserve">Der Ausbruch des Unterwasservulkans </w:t>
      </w:r>
      <w:proofErr w:type="spellStart"/>
      <w:r w:rsidRPr="00955EDF">
        <w:t>Hunga</w:t>
      </w:r>
      <w:proofErr w:type="spellEnd"/>
      <w:r w:rsidRPr="00955EDF">
        <w:t xml:space="preserve"> Tonga-</w:t>
      </w:r>
      <w:proofErr w:type="spellStart"/>
      <w:r w:rsidRPr="00955EDF">
        <w:t>Hunga</w:t>
      </w:r>
      <w:proofErr w:type="spellEnd"/>
      <w:r w:rsidRPr="00955EDF">
        <w:t xml:space="preserve"> </w:t>
      </w:r>
      <w:proofErr w:type="spellStart"/>
      <w:r w:rsidRPr="00955EDF">
        <w:t>Ha’apai</w:t>
      </w:r>
      <w:proofErr w:type="spellEnd"/>
      <w:r w:rsidRPr="00955EDF">
        <w:t xml:space="preserve"> hat neben einer riesigen Aschewolke auch große Mengen Meerwasser in die Stratosphäre gebracht. Im Meerwasser sind Salze wie z.B. Natriumchlorid gelöst.</w:t>
      </w:r>
    </w:p>
    <w:p w14:paraId="04300678" w14:textId="251FD8DC" w:rsidR="00955EDF" w:rsidRPr="00576BE3" w:rsidRDefault="00955EDF" w:rsidP="00491A7F">
      <w:pPr>
        <w:pStyle w:val="ekvaufzhlung2"/>
        <w:tabs>
          <w:tab w:val="clear" w:pos="1134"/>
          <w:tab w:val="clear" w:pos="1276"/>
          <w:tab w:val="clear" w:pos="1474"/>
          <w:tab w:val="clear" w:pos="1531"/>
        </w:tabs>
        <w:ind w:left="1134" w:hanging="454"/>
        <w:rPr>
          <w:rStyle w:val="ekvfett"/>
          <w:b w:val="0"/>
          <w:bCs/>
        </w:rPr>
      </w:pPr>
      <w:r w:rsidRPr="00576BE3">
        <w:rPr>
          <w:rStyle w:val="ekvfett"/>
          <w:b w:val="0"/>
          <w:bCs/>
        </w:rPr>
        <w:t>a)</w:t>
      </w:r>
      <w:r w:rsidR="00491A7F" w:rsidRPr="00576BE3">
        <w:rPr>
          <w:rStyle w:val="ekvfett"/>
          <w:b w:val="0"/>
          <w:bCs/>
        </w:rPr>
        <w:tab/>
      </w:r>
      <w:r w:rsidRPr="00576BE3">
        <w:rPr>
          <w:rStyle w:val="ekvfett"/>
          <w:b w:val="0"/>
          <w:bCs/>
        </w:rPr>
        <w:t xml:space="preserve">Informiere dich über den Ausbruch des Vulkans </w:t>
      </w:r>
      <w:proofErr w:type="spellStart"/>
      <w:r w:rsidRPr="00576BE3">
        <w:rPr>
          <w:rStyle w:val="ekvfett"/>
          <w:b w:val="0"/>
          <w:bCs/>
        </w:rPr>
        <w:t>Hunga</w:t>
      </w:r>
      <w:proofErr w:type="spellEnd"/>
      <w:r w:rsidRPr="00576BE3">
        <w:rPr>
          <w:rStyle w:val="ekvfett"/>
          <w:b w:val="0"/>
          <w:bCs/>
        </w:rPr>
        <w:t xml:space="preserve"> Tonga.</w:t>
      </w:r>
    </w:p>
    <w:p w14:paraId="4174DDBE" w14:textId="2CE351BA" w:rsidR="00955EDF" w:rsidRPr="00576BE3" w:rsidRDefault="00955EDF" w:rsidP="00491A7F">
      <w:pPr>
        <w:pStyle w:val="ekvaufzhlung2"/>
        <w:tabs>
          <w:tab w:val="clear" w:pos="1134"/>
          <w:tab w:val="clear" w:pos="1276"/>
          <w:tab w:val="clear" w:pos="1474"/>
          <w:tab w:val="clear" w:pos="1531"/>
        </w:tabs>
        <w:ind w:left="1134" w:hanging="454"/>
        <w:rPr>
          <w:rStyle w:val="ekvfett"/>
          <w:b w:val="0"/>
          <w:bCs/>
        </w:rPr>
      </w:pPr>
      <w:r w:rsidRPr="00576BE3">
        <w:rPr>
          <w:rStyle w:val="ekvfett"/>
          <w:b w:val="0"/>
          <w:bCs/>
        </w:rPr>
        <w:tab/>
        <w:t>Gib den Breitengrad an, auf dem der Vulkan liegt. Ermittle die Höhe, in der die Aschewolke sich ausbreitete.</w:t>
      </w:r>
      <w:r w:rsidR="002B5B2E" w:rsidRPr="00576BE3">
        <w:rPr>
          <w:rStyle w:val="ekvfett"/>
          <w:b w:val="0"/>
          <w:bCs/>
          <w:vertAlign w:val="superscript"/>
        </w:rPr>
        <w:t>12</w:t>
      </w:r>
    </w:p>
    <w:p w14:paraId="3B6BAC0C" w14:textId="17845891" w:rsidR="00955EDF" w:rsidRPr="00576BE3" w:rsidRDefault="00955EDF" w:rsidP="00491A7F">
      <w:pPr>
        <w:pStyle w:val="ekvaufzhlung2"/>
        <w:tabs>
          <w:tab w:val="clear" w:pos="1134"/>
          <w:tab w:val="clear" w:pos="1276"/>
          <w:tab w:val="clear" w:pos="1474"/>
          <w:tab w:val="clear" w:pos="1531"/>
        </w:tabs>
        <w:ind w:left="1134" w:hanging="454"/>
        <w:rPr>
          <w:b/>
          <w:bCs/>
        </w:rPr>
      </w:pPr>
      <w:r w:rsidRPr="00576BE3">
        <w:rPr>
          <w:rStyle w:val="ekvfett"/>
          <w:b w:val="0"/>
          <w:bCs/>
        </w:rPr>
        <w:t>b)</w:t>
      </w:r>
      <w:r w:rsidR="00491A7F" w:rsidRPr="00576BE3">
        <w:rPr>
          <w:rStyle w:val="ekvfett"/>
          <w:b w:val="0"/>
          <w:bCs/>
        </w:rPr>
        <w:tab/>
      </w:r>
      <w:r w:rsidRPr="00576BE3">
        <w:rPr>
          <w:rStyle w:val="ekvfett"/>
          <w:b w:val="0"/>
          <w:bCs/>
        </w:rPr>
        <w:t>Überlege, welche Auswirkungen das Wasser bzw. der Wasserdampf und die Salze in der Stratosphäre in Bezug auf das dort befindliche Ozon haben könnten</w:t>
      </w:r>
      <w:r w:rsidRPr="00576BE3">
        <w:rPr>
          <w:b/>
          <w:bCs/>
        </w:rPr>
        <w:t>.</w:t>
      </w:r>
    </w:p>
    <w:p w14:paraId="2CB42306" w14:textId="77777777" w:rsidR="00955EDF" w:rsidRDefault="00955EDF" w:rsidP="00955EDF">
      <w:pPr>
        <w:pStyle w:val="Listenabsatz"/>
        <w:ind w:left="1068"/>
      </w:pPr>
    </w:p>
    <w:p w14:paraId="15B06EC8" w14:textId="14D92861" w:rsidR="00955EDF" w:rsidRDefault="00955EDF" w:rsidP="00955EDF">
      <w:pPr>
        <w:pStyle w:val="ekvaufzhlung1"/>
      </w:pPr>
      <w:r w:rsidRPr="00EB5DA5">
        <w:rPr>
          <w:rStyle w:val="ekvnummerierung"/>
        </w:rPr>
        <w:t>3.</w:t>
      </w:r>
      <w:r>
        <w:tab/>
        <w:t>Im Sommer der Südhälfte der Erde 2019/2020 gab es in Australien riesige Buschbrände, deren Aschewolken sich bis in große Höhen verteilten. An Aschepartikeln können sich Chlorverbindungen wie Salzsäure anlagern.</w:t>
      </w:r>
    </w:p>
    <w:p w14:paraId="2C969AB7" w14:textId="0A4271AF" w:rsidR="00955EDF" w:rsidRPr="00576BE3" w:rsidRDefault="00955EDF" w:rsidP="00491A7F">
      <w:pPr>
        <w:pStyle w:val="ekvaufzhlung2"/>
        <w:tabs>
          <w:tab w:val="clear" w:pos="1134"/>
          <w:tab w:val="clear" w:pos="1276"/>
          <w:tab w:val="clear" w:pos="1474"/>
          <w:tab w:val="clear" w:pos="1531"/>
        </w:tabs>
        <w:ind w:left="1134" w:hanging="454"/>
        <w:rPr>
          <w:rStyle w:val="ekvfett"/>
          <w:b w:val="0"/>
          <w:bCs/>
        </w:rPr>
      </w:pPr>
      <w:r w:rsidRPr="00576BE3">
        <w:rPr>
          <w:rStyle w:val="ekvfett"/>
          <w:b w:val="0"/>
          <w:bCs/>
        </w:rPr>
        <w:t>a)</w:t>
      </w:r>
      <w:r w:rsidR="00491A7F" w:rsidRPr="00576BE3">
        <w:rPr>
          <w:rStyle w:val="ekvfett"/>
          <w:b w:val="0"/>
          <w:bCs/>
        </w:rPr>
        <w:tab/>
      </w:r>
      <w:r w:rsidRPr="00576BE3">
        <w:rPr>
          <w:rStyle w:val="ekvfett"/>
          <w:b w:val="0"/>
          <w:bCs/>
        </w:rPr>
        <w:t>Informiere dich über die Buschbrände in Australien. Ermittle die Lage Australiens in Bezug zur Antarktis. Notiere deine Ergebnisse.</w:t>
      </w:r>
    </w:p>
    <w:p w14:paraId="1AF15B85" w14:textId="77777777" w:rsidR="00491A7F" w:rsidRPr="00576BE3" w:rsidRDefault="00955EDF" w:rsidP="00491A7F">
      <w:pPr>
        <w:pStyle w:val="ekvaufzhlung2"/>
        <w:tabs>
          <w:tab w:val="clear" w:pos="1134"/>
          <w:tab w:val="clear" w:pos="1276"/>
          <w:tab w:val="clear" w:pos="1474"/>
          <w:tab w:val="clear" w:pos="1531"/>
        </w:tabs>
        <w:ind w:left="1134" w:hanging="454"/>
        <w:rPr>
          <w:rStyle w:val="ekvfett"/>
          <w:b w:val="0"/>
          <w:bCs/>
        </w:rPr>
      </w:pPr>
      <w:r w:rsidRPr="00576BE3">
        <w:rPr>
          <w:rStyle w:val="ekvfett"/>
          <w:b w:val="0"/>
          <w:bCs/>
        </w:rPr>
        <w:t>b)</w:t>
      </w:r>
      <w:r w:rsidR="00491A7F" w:rsidRPr="00576BE3">
        <w:rPr>
          <w:rStyle w:val="ekvfett"/>
          <w:b w:val="0"/>
          <w:bCs/>
        </w:rPr>
        <w:tab/>
      </w:r>
      <w:r w:rsidRPr="00576BE3">
        <w:rPr>
          <w:rStyle w:val="ekvfett"/>
          <w:b w:val="0"/>
          <w:bCs/>
        </w:rPr>
        <w:t>Überlege, welche Auswirkungen die Buschbrände haben könnten.</w:t>
      </w:r>
    </w:p>
    <w:p w14:paraId="28BA30D4" w14:textId="7562E9C4" w:rsidR="00955EDF" w:rsidRDefault="00955EDF" w:rsidP="00EB5DA5">
      <w:pPr>
        <w:pStyle w:val="ekvbildlegende"/>
        <w:tabs>
          <w:tab w:val="clear" w:pos="340"/>
          <w:tab w:val="clear" w:pos="595"/>
          <w:tab w:val="clear" w:pos="851"/>
        </w:tabs>
        <w:ind w:left="709"/>
      </w:pPr>
      <w:r>
        <w:br/>
        <w:t>Welche Überlegungen Wissenschaftler anstellen, kannst du in dem Spektrum-Artikel „Wie Australiens Waldbrände 2019/20 die Ozonschicht zerstörten“ (</w:t>
      </w:r>
      <w:hyperlink r:id="rId8" w:history="1">
        <w:r>
          <w:rPr>
            <w:rStyle w:val="Hyperlink"/>
          </w:rPr>
          <w:t>https://www.spektrum.de/news/wie-australiens-waldbraende-2019-20-die-ozonschicht-zerstoerten/2117886</w:t>
        </w:r>
      </w:hyperlink>
      <w:r>
        <w:t>) nachlesen.</w:t>
      </w:r>
    </w:p>
    <w:p w14:paraId="0BE783AA" w14:textId="78F59CE1" w:rsidR="002B5B2E" w:rsidRDefault="002B5B2E" w:rsidP="002B5B2E">
      <w:pPr>
        <w:pStyle w:val="ekvfussnote"/>
      </w:pPr>
    </w:p>
    <w:p w14:paraId="1EFC5669" w14:textId="77777777" w:rsidR="00DB7CEF" w:rsidRDefault="00DB7CEF" w:rsidP="002B5B2E">
      <w:pPr>
        <w:pStyle w:val="ekvfussnote"/>
      </w:pPr>
    </w:p>
    <w:p w14:paraId="3F311803" w14:textId="77777777" w:rsidR="00DB7CEF" w:rsidRDefault="00DB7CEF" w:rsidP="002B5B2E">
      <w:pPr>
        <w:pStyle w:val="ekvfussnote"/>
      </w:pPr>
    </w:p>
    <w:p w14:paraId="2E545683" w14:textId="77777777" w:rsidR="009A4E51" w:rsidRDefault="009A4E51" w:rsidP="002B5B2E">
      <w:pPr>
        <w:pStyle w:val="ekvfussnote"/>
      </w:pPr>
    </w:p>
    <w:tbl>
      <w:tblPr>
        <w:tblStyle w:val="Tabellenraster"/>
        <w:tblW w:w="952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760"/>
      </w:tblGrid>
      <w:tr w:rsidR="009A4E51" w14:paraId="44C3F9EB" w14:textId="77777777" w:rsidTr="00DB7CEF">
        <w:trPr>
          <w:trHeight w:val="1723"/>
        </w:trPr>
        <w:tc>
          <w:tcPr>
            <w:tcW w:w="4760" w:type="dxa"/>
          </w:tcPr>
          <w:p w14:paraId="5C311B3A" w14:textId="77777777" w:rsidR="00DB7CEF" w:rsidRDefault="00DB7CEF" w:rsidP="009A4E51">
            <w:pPr>
              <w:pStyle w:val="ekvfussnote"/>
            </w:pPr>
          </w:p>
          <w:p w14:paraId="708D573B" w14:textId="5EEA439F" w:rsidR="009A4E51" w:rsidRPr="009A4E51" w:rsidRDefault="009A4E51" w:rsidP="009A4E51">
            <w:pPr>
              <w:pStyle w:val="ekvfussnote"/>
            </w:pPr>
            <w:r>
              <w:rPr>
                <w:noProof/>
              </w:rPr>
              <w:drawing>
                <wp:anchor distT="0" distB="0" distL="114300" distR="114300" simplePos="0" relativeHeight="251659264" behindDoc="0" locked="0" layoutInCell="1" allowOverlap="1" wp14:anchorId="7958557C" wp14:editId="7DB446FF">
                  <wp:simplePos x="0" y="0"/>
                  <wp:positionH relativeFrom="column">
                    <wp:posOffset>75565</wp:posOffset>
                  </wp:positionH>
                  <wp:positionV relativeFrom="paragraph">
                    <wp:posOffset>213995</wp:posOffset>
                  </wp:positionV>
                  <wp:extent cx="715363" cy="720000"/>
                  <wp:effectExtent l="0" t="0" r="8890" b="4445"/>
                  <wp:wrapTopAndBottom/>
                  <wp:docPr id="18030475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47598" name="Grafik 1803047598"/>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5363" cy="720000"/>
                          </a:xfrm>
                          <a:prstGeom prst="rect">
                            <a:avLst/>
                          </a:prstGeom>
                        </pic:spPr>
                      </pic:pic>
                    </a:graphicData>
                  </a:graphic>
                  <wp14:sizeRelH relativeFrom="margin">
                    <wp14:pctWidth>0</wp14:pctWidth>
                  </wp14:sizeRelH>
                  <wp14:sizeRelV relativeFrom="margin">
                    <wp14:pctHeight>0</wp14:pctHeight>
                  </wp14:sizeRelV>
                </wp:anchor>
              </w:drawing>
            </w:r>
            <w:r>
              <w:rPr>
                <w:rStyle w:val="Funotenzeichen"/>
                <w:sz w:val="20"/>
                <w:szCs w:val="20"/>
              </w:rPr>
              <w:footnoteRef/>
            </w:r>
            <w:r>
              <w:t xml:space="preserve"> Die Aschewolke am 16. Januar (Foto von der ISS): </w:t>
            </w:r>
          </w:p>
          <w:p w14:paraId="7BC084B8" w14:textId="77777777" w:rsidR="009A4E51" w:rsidRDefault="009A4E51" w:rsidP="002B5B2E">
            <w:pPr>
              <w:pStyle w:val="ekvfussnote"/>
            </w:pPr>
          </w:p>
        </w:tc>
        <w:tc>
          <w:tcPr>
            <w:tcW w:w="4760" w:type="dxa"/>
          </w:tcPr>
          <w:p w14:paraId="70ADC6C4" w14:textId="77777777" w:rsidR="00DB7CEF" w:rsidRDefault="00DB7CEF" w:rsidP="009A4E51">
            <w:pPr>
              <w:pStyle w:val="ekvfussnote"/>
              <w:tabs>
                <w:tab w:val="clear" w:pos="340"/>
                <w:tab w:val="clear" w:pos="595"/>
                <w:tab w:val="clear" w:pos="851"/>
              </w:tabs>
              <w:ind w:left="177" w:hanging="177"/>
              <w:rPr>
                <w:sz w:val="20"/>
                <w:szCs w:val="20"/>
              </w:rPr>
            </w:pPr>
          </w:p>
          <w:p w14:paraId="0C57931B" w14:textId="6C1E43DA" w:rsidR="009A4E51" w:rsidRDefault="009A4E51" w:rsidP="009A4E51">
            <w:pPr>
              <w:pStyle w:val="ekvfussnote"/>
              <w:tabs>
                <w:tab w:val="clear" w:pos="340"/>
                <w:tab w:val="clear" w:pos="595"/>
                <w:tab w:val="clear" w:pos="851"/>
              </w:tabs>
              <w:ind w:left="177" w:hanging="177"/>
            </w:pPr>
            <w:r>
              <w:rPr>
                <w:noProof/>
              </w:rPr>
              <w:drawing>
                <wp:anchor distT="0" distB="0" distL="114300" distR="114300" simplePos="0" relativeHeight="251661312" behindDoc="0" locked="0" layoutInCell="1" allowOverlap="1" wp14:anchorId="16B32B9B" wp14:editId="0F738EE7">
                  <wp:simplePos x="0" y="0"/>
                  <wp:positionH relativeFrom="margin">
                    <wp:posOffset>113665</wp:posOffset>
                  </wp:positionH>
                  <wp:positionV relativeFrom="paragraph">
                    <wp:posOffset>536575</wp:posOffset>
                  </wp:positionV>
                  <wp:extent cx="720000" cy="717545"/>
                  <wp:effectExtent l="0" t="0" r="4445" b="6985"/>
                  <wp:wrapTopAndBottom/>
                  <wp:docPr id="200110767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07670" name="Grafik 20011076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0000" cy="717545"/>
                          </a:xfrm>
                          <a:prstGeom prst="rect">
                            <a:avLst/>
                          </a:prstGeom>
                        </pic:spPr>
                      </pic:pic>
                    </a:graphicData>
                  </a:graphic>
                  <wp14:sizeRelH relativeFrom="margin">
                    <wp14:pctWidth>0</wp14:pctWidth>
                  </wp14:sizeRelH>
                  <wp14:sizeRelV relativeFrom="margin">
                    <wp14:pctHeight>0</wp14:pctHeight>
                  </wp14:sizeRelV>
                </wp:anchor>
              </w:drawing>
            </w:r>
            <w:r>
              <w:rPr>
                <w:rStyle w:val="Funotenzeichen"/>
                <w:sz w:val="20"/>
                <w:szCs w:val="20"/>
              </w:rPr>
              <w:t>2</w:t>
            </w:r>
            <w:r>
              <w:t xml:space="preserve"> </w:t>
            </w:r>
            <w:r w:rsidR="00DB7CEF">
              <w:tab/>
            </w:r>
            <w:r>
              <w:t>Das aus Daten des CALIPSO-Satelliten vom 16. Januar gewonnene Bild zeigt, wie hoch die Vulkan</w:t>
            </w:r>
            <w:r>
              <w:softHyphen/>
              <w:t>asche in die Atmo</w:t>
            </w:r>
            <w:r>
              <w:softHyphen/>
              <w:t xml:space="preserve">sphäre geschleudert wurde: </w:t>
            </w:r>
          </w:p>
          <w:p w14:paraId="23B07D4F" w14:textId="77777777" w:rsidR="009A4E51" w:rsidRDefault="009A4E51" w:rsidP="002B5B2E">
            <w:pPr>
              <w:pStyle w:val="ekvfussnote"/>
            </w:pPr>
          </w:p>
        </w:tc>
      </w:tr>
    </w:tbl>
    <w:p w14:paraId="50EC0F64" w14:textId="66AAE3F2" w:rsidR="002B5B2E" w:rsidRDefault="002B5B2E" w:rsidP="00DB7CEF">
      <w:pPr>
        <w:pStyle w:val="ekvbildlegende"/>
        <w:tabs>
          <w:tab w:val="clear" w:pos="340"/>
          <w:tab w:val="clear" w:pos="595"/>
          <w:tab w:val="clear" w:pos="851"/>
        </w:tabs>
      </w:pPr>
    </w:p>
    <w:sectPr w:rsidR="002B5B2E" w:rsidSect="009A4E51">
      <w:headerReference w:type="default" r:id="rId11"/>
      <w:footerReference w:type="default" r:id="rId12"/>
      <w:type w:val="continuous"/>
      <w:pgSz w:w="11906" w:h="16838" w:code="9"/>
      <w:pgMar w:top="1758" w:right="1276" w:bottom="1276"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853E0" w14:textId="77777777" w:rsidR="00C92D0D" w:rsidRDefault="00C92D0D" w:rsidP="003C599D">
      <w:pPr>
        <w:spacing w:line="240" w:lineRule="auto"/>
      </w:pPr>
      <w:r>
        <w:separator/>
      </w:r>
    </w:p>
  </w:endnote>
  <w:endnote w:type="continuationSeparator" w:id="0">
    <w:p w14:paraId="432A0F4E" w14:textId="77777777" w:rsidR="00C92D0D" w:rsidRDefault="00C92D0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D5E17DB" w14:textId="77777777" w:rsidTr="00503EE6">
      <w:trPr>
        <w:trHeight w:hRule="exact" w:val="680"/>
      </w:trPr>
      <w:tc>
        <w:tcPr>
          <w:tcW w:w="864" w:type="dxa"/>
          <w:noWrap/>
        </w:tcPr>
        <w:p w14:paraId="3B805095" w14:textId="77777777" w:rsidR="002659C5" w:rsidRPr="00913892" w:rsidRDefault="002659C5" w:rsidP="005E4C30">
          <w:pPr>
            <w:pStyle w:val="ekvpaginabild"/>
            <w:jc w:val="both"/>
          </w:pPr>
          <w:r w:rsidRPr="00913892">
            <w:rPr>
              <w:noProof/>
              <w:lang w:eastAsia="de-DE"/>
            </w:rPr>
            <w:drawing>
              <wp:inline distT="0" distB="0" distL="0" distR="0" wp14:anchorId="51F6D73E" wp14:editId="05AC3D6B">
                <wp:extent cx="468000" cy="234000"/>
                <wp:effectExtent l="0" t="0" r="8255" b="0"/>
                <wp:docPr id="1422639383" name="Grafik 1422639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4A03EB8" w14:textId="2B50A33E" w:rsidR="002659C5" w:rsidRPr="00913892" w:rsidRDefault="002659C5" w:rsidP="00503EE6">
          <w:pPr>
            <w:pStyle w:val="ekvpagina"/>
          </w:pPr>
          <w:r w:rsidRPr="00913892">
            <w:t xml:space="preserve">© Ernst Klett Verlag GmbH, </w:t>
          </w:r>
          <w:r w:rsidR="00CF40E8">
            <w:t>Stuttgart 20</w:t>
          </w:r>
          <w:r w:rsidR="006912A7">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82D6F7F" w14:textId="10C5CDC4" w:rsidR="002659C5" w:rsidRPr="00913892" w:rsidRDefault="000E200F" w:rsidP="000E200F">
          <w:pPr>
            <w:pStyle w:val="ekvquelle"/>
          </w:pPr>
          <w:r w:rsidRPr="000E200F">
            <w:rPr>
              <w:rStyle w:val="ekvquellefett"/>
            </w:rPr>
            <w:t>Text:</w:t>
          </w:r>
          <w:r>
            <w:t xml:space="preserve"> </w:t>
          </w:r>
          <w:r w:rsidR="00491DB0">
            <w:t>Michael Sternberg</w:t>
          </w:r>
        </w:p>
      </w:tc>
      <w:tc>
        <w:tcPr>
          <w:tcW w:w="813" w:type="dxa"/>
        </w:tcPr>
        <w:p w14:paraId="321B5379" w14:textId="77777777" w:rsidR="002659C5" w:rsidRPr="00913892" w:rsidRDefault="002659C5" w:rsidP="00913892">
          <w:pPr>
            <w:pStyle w:val="ekvpagina"/>
          </w:pPr>
        </w:p>
      </w:tc>
    </w:tr>
  </w:tbl>
  <w:p w14:paraId="7DC610A9"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F6043" w14:textId="77777777" w:rsidR="00C92D0D" w:rsidRDefault="00C92D0D" w:rsidP="003C599D">
      <w:pPr>
        <w:spacing w:line="240" w:lineRule="auto"/>
      </w:pPr>
      <w:r>
        <w:separator/>
      </w:r>
    </w:p>
  </w:footnote>
  <w:footnote w:type="continuationSeparator" w:id="0">
    <w:p w14:paraId="74626C23" w14:textId="77777777" w:rsidR="00C92D0D" w:rsidRDefault="00C92D0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65B787D" w14:textId="77777777" w:rsidTr="00431E62">
      <w:trPr>
        <w:trHeight w:hRule="exact" w:val="510"/>
      </w:trPr>
      <w:tc>
        <w:tcPr>
          <w:tcW w:w="818" w:type="dxa"/>
          <w:tcBorders>
            <w:top w:val="nil"/>
            <w:bottom w:val="nil"/>
            <w:right w:val="nil"/>
          </w:tcBorders>
          <w:noWrap/>
          <w:vAlign w:val="bottom"/>
        </w:tcPr>
        <w:p w14:paraId="4DC9D7E7" w14:textId="77777777" w:rsidR="00901B13" w:rsidRPr="00AE65F6" w:rsidRDefault="00901B13" w:rsidP="00901B13"/>
      </w:tc>
      <w:tc>
        <w:tcPr>
          <w:tcW w:w="3856" w:type="dxa"/>
          <w:tcBorders>
            <w:top w:val="nil"/>
            <w:left w:val="nil"/>
            <w:bottom w:val="nil"/>
            <w:right w:val="nil"/>
          </w:tcBorders>
          <w:noWrap/>
          <w:vAlign w:val="bottom"/>
        </w:tcPr>
        <w:p w14:paraId="536CA7B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A6BC9F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42ED29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3516229" w14:textId="50941DAF" w:rsidR="00901B13" w:rsidRPr="007C1230" w:rsidRDefault="00185DA1" w:rsidP="00901B13">
          <w:pPr>
            <w:pStyle w:val="ekvkvnummer"/>
          </w:pPr>
          <w:r>
            <w:t>KV</w:t>
          </w:r>
        </w:p>
      </w:tc>
      <w:tc>
        <w:tcPr>
          <w:tcW w:w="883" w:type="dxa"/>
          <w:tcBorders>
            <w:top w:val="nil"/>
            <w:left w:val="nil"/>
            <w:bottom w:val="nil"/>
          </w:tcBorders>
          <w:noWrap/>
          <w:vAlign w:val="bottom"/>
        </w:tcPr>
        <w:p w14:paraId="142FBC67" w14:textId="77777777" w:rsidR="00901B13" w:rsidRPr="007636A0" w:rsidRDefault="00901B13" w:rsidP="00901B13">
          <w:pPr>
            <w:pStyle w:val="ekvkapitel"/>
            <w:rPr>
              <w:color w:val="FFFFFF" w:themeColor="background1"/>
            </w:rPr>
          </w:pPr>
        </w:p>
      </w:tc>
    </w:tr>
    <w:tr w:rsidR="00901B13" w:rsidRPr="00BF17F2" w14:paraId="2D80681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E2A084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D8DA1AE" w14:textId="77777777" w:rsidR="00901B13" w:rsidRPr="00BF17F2" w:rsidRDefault="00901B13" w:rsidP="00901B13">
          <w:pPr>
            <w:rPr>
              <w:color w:val="FFFFFF" w:themeColor="background1"/>
            </w:rPr>
          </w:pPr>
        </w:p>
      </w:tc>
    </w:tr>
  </w:tbl>
  <w:p w14:paraId="322689C2"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959"/>
    <w:multiLevelType w:val="hybridMultilevel"/>
    <w:tmpl w:val="A1B899D0"/>
    <w:lvl w:ilvl="0" w:tplc="276809F0">
      <w:start w:val="4"/>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7624C9"/>
    <w:multiLevelType w:val="hybridMultilevel"/>
    <w:tmpl w:val="1B3082A2"/>
    <w:lvl w:ilvl="0" w:tplc="FFFFFFFF">
      <w:start w:val="1"/>
      <w:numFmt w:val="lowerLetter"/>
      <w:lvlText w:val="%1)"/>
      <w:lvlJc w:val="left"/>
      <w:pPr>
        <w:ind w:left="900" w:hanging="360"/>
      </w:pPr>
      <w:rPr>
        <w:rFonts w:ascii="Arial" w:eastAsiaTheme="minorHAnsi" w:hAnsi="Arial" w:cstheme="minorBidi"/>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1E270211"/>
    <w:multiLevelType w:val="hybridMultilevel"/>
    <w:tmpl w:val="88EA1032"/>
    <w:lvl w:ilvl="0" w:tplc="24D2001C">
      <w:start w:val="9"/>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434F12"/>
    <w:multiLevelType w:val="hybridMultilevel"/>
    <w:tmpl w:val="47C82754"/>
    <w:lvl w:ilvl="0" w:tplc="7584EA68">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4" w15:restartNumberingAfterBreak="0">
    <w:nsid w:val="25D87D55"/>
    <w:multiLevelType w:val="hybridMultilevel"/>
    <w:tmpl w:val="02F84A7C"/>
    <w:lvl w:ilvl="0" w:tplc="0CDA7D30">
      <w:start w:val="1"/>
      <w:numFmt w:val="lowerLetter"/>
      <w:lvlText w:val="%1)"/>
      <w:lvlJc w:val="left"/>
      <w:pPr>
        <w:ind w:left="900" w:hanging="360"/>
      </w:pPr>
      <w:rPr>
        <w:rFonts w:ascii="Arial" w:eastAsiaTheme="minorHAnsi" w:hAnsi="Arial" w:cstheme="minorBidi"/>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5" w15:restartNumberingAfterBreak="0">
    <w:nsid w:val="26BC2197"/>
    <w:multiLevelType w:val="hybridMultilevel"/>
    <w:tmpl w:val="551470CE"/>
    <w:lvl w:ilvl="0" w:tplc="6BE81F70">
      <w:start w:val="5"/>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55D600E"/>
    <w:multiLevelType w:val="hybridMultilevel"/>
    <w:tmpl w:val="D1A8C51A"/>
    <w:lvl w:ilvl="0" w:tplc="8BB2AEDC">
      <w:start w:val="3"/>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4A7942"/>
    <w:multiLevelType w:val="hybridMultilevel"/>
    <w:tmpl w:val="A57CFAC0"/>
    <w:lvl w:ilvl="0" w:tplc="0407000F">
      <w:start w:val="1"/>
      <w:numFmt w:val="decimal"/>
      <w:lvlText w:val="%1."/>
      <w:lvlJc w:val="left"/>
      <w:pPr>
        <w:ind w:left="720" w:hanging="360"/>
      </w:pPr>
    </w:lvl>
    <w:lvl w:ilvl="1" w:tplc="047E9BE2">
      <w:start w:val="1"/>
      <w:numFmt w:val="lowerLetter"/>
      <w:lvlText w:val="%2)"/>
      <w:lvlJc w:val="left"/>
      <w:pPr>
        <w:ind w:left="90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3E9A5443"/>
    <w:multiLevelType w:val="hybridMultilevel"/>
    <w:tmpl w:val="E0FEECD2"/>
    <w:lvl w:ilvl="0" w:tplc="B4940A92">
      <w:start w:val="7"/>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3B1E86"/>
    <w:multiLevelType w:val="hybridMultilevel"/>
    <w:tmpl w:val="732259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C44769"/>
    <w:multiLevelType w:val="hybridMultilevel"/>
    <w:tmpl w:val="F574E828"/>
    <w:lvl w:ilvl="0" w:tplc="04070017">
      <w:start w:val="1"/>
      <w:numFmt w:val="lowerLetter"/>
      <w:lvlText w:val="%1)"/>
      <w:lvlJc w:val="left"/>
      <w:pPr>
        <w:ind w:left="1068" w:hanging="360"/>
      </w:p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abstractNum w:abstractNumId="11" w15:restartNumberingAfterBreak="0">
    <w:nsid w:val="61862A43"/>
    <w:multiLevelType w:val="hybridMultilevel"/>
    <w:tmpl w:val="8A344D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8B0CA8"/>
    <w:multiLevelType w:val="hybridMultilevel"/>
    <w:tmpl w:val="5B7ABEB0"/>
    <w:lvl w:ilvl="0" w:tplc="0E2E55BA">
      <w:start w:val="2"/>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476681372">
    <w:abstractNumId w:val="11"/>
  </w:num>
  <w:num w:numId="2" w16cid:durableId="439225052">
    <w:abstractNumId w:val="9"/>
  </w:num>
  <w:num w:numId="3" w16cid:durableId="1463842737">
    <w:abstractNumId w:val="2"/>
  </w:num>
  <w:num w:numId="4" w16cid:durableId="1849716384">
    <w:abstractNumId w:val="6"/>
  </w:num>
  <w:num w:numId="5" w16cid:durableId="1116604639">
    <w:abstractNumId w:val="0"/>
  </w:num>
  <w:num w:numId="6" w16cid:durableId="46610686">
    <w:abstractNumId w:val="5"/>
  </w:num>
  <w:num w:numId="7" w16cid:durableId="151455646">
    <w:abstractNumId w:val="8"/>
  </w:num>
  <w:num w:numId="8" w16cid:durableId="3298705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3529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95000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4624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7324594">
    <w:abstractNumId w:val="12"/>
  </w:num>
  <w:num w:numId="13" w16cid:durableId="1583681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A1"/>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664"/>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5DA1"/>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15"/>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1F7C"/>
    <w:rsid w:val="002A25AE"/>
    <w:rsid w:val="002B3DF1"/>
    <w:rsid w:val="002B52EB"/>
    <w:rsid w:val="002B5B2E"/>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AB1"/>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1A7F"/>
    <w:rsid w:val="00491DB0"/>
    <w:rsid w:val="004925F2"/>
    <w:rsid w:val="004A66C3"/>
    <w:rsid w:val="004A66CF"/>
    <w:rsid w:val="004B17DA"/>
    <w:rsid w:val="004C020F"/>
    <w:rsid w:val="004E3969"/>
    <w:rsid w:val="004F45AB"/>
    <w:rsid w:val="00501528"/>
    <w:rsid w:val="00503EE6"/>
    <w:rsid w:val="005069C1"/>
    <w:rsid w:val="00510583"/>
    <w:rsid w:val="00510F4C"/>
    <w:rsid w:val="00514229"/>
    <w:rsid w:val="005156EC"/>
    <w:rsid w:val="005168A4"/>
    <w:rsid w:val="0052117E"/>
    <w:rsid w:val="00521B91"/>
    <w:rsid w:val="0052348C"/>
    <w:rsid w:val="005252D2"/>
    <w:rsid w:val="00530C92"/>
    <w:rsid w:val="00535AD8"/>
    <w:rsid w:val="00547103"/>
    <w:rsid w:val="00554EDA"/>
    <w:rsid w:val="00560848"/>
    <w:rsid w:val="00570137"/>
    <w:rsid w:val="0057200E"/>
    <w:rsid w:val="00572A0F"/>
    <w:rsid w:val="00574FE0"/>
    <w:rsid w:val="00576BE3"/>
    <w:rsid w:val="00576D2D"/>
    <w:rsid w:val="00583FC8"/>
    <w:rsid w:val="00584F88"/>
    <w:rsid w:val="005859EB"/>
    <w:rsid w:val="00587CF5"/>
    <w:rsid w:val="00587DF4"/>
    <w:rsid w:val="00597E2F"/>
    <w:rsid w:val="005A0387"/>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5782"/>
    <w:rsid w:val="0064120B"/>
    <w:rsid w:val="00643C08"/>
    <w:rsid w:val="00644BA9"/>
    <w:rsid w:val="0064692C"/>
    <w:rsid w:val="00653F68"/>
    <w:rsid w:val="00666D95"/>
    <w:rsid w:val="006802C4"/>
    <w:rsid w:val="0068429A"/>
    <w:rsid w:val="00685C08"/>
    <w:rsid w:val="00685FDD"/>
    <w:rsid w:val="006912A7"/>
    <w:rsid w:val="006912DC"/>
    <w:rsid w:val="006923AC"/>
    <w:rsid w:val="00693676"/>
    <w:rsid w:val="006A5611"/>
    <w:rsid w:val="006A56D2"/>
    <w:rsid w:val="006A71DE"/>
    <w:rsid w:val="006A76D7"/>
    <w:rsid w:val="006B0743"/>
    <w:rsid w:val="006B2D23"/>
    <w:rsid w:val="006B3EF4"/>
    <w:rsid w:val="006B6247"/>
    <w:rsid w:val="006C1E77"/>
    <w:rsid w:val="006C231A"/>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B7FF2"/>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635F"/>
    <w:rsid w:val="008576F6"/>
    <w:rsid w:val="00857713"/>
    <w:rsid w:val="008629D8"/>
    <w:rsid w:val="00862C21"/>
    <w:rsid w:val="00871F12"/>
    <w:rsid w:val="008739C7"/>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5EDF"/>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4E51"/>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53F3"/>
    <w:rsid w:val="00B468CC"/>
    <w:rsid w:val="00B52FB3"/>
    <w:rsid w:val="00B5429C"/>
    <w:rsid w:val="00B54655"/>
    <w:rsid w:val="00B6045F"/>
    <w:rsid w:val="00B6058C"/>
    <w:rsid w:val="00B60BEA"/>
    <w:rsid w:val="00B7242A"/>
    <w:rsid w:val="00B8071F"/>
    <w:rsid w:val="00B82B4E"/>
    <w:rsid w:val="00B8420E"/>
    <w:rsid w:val="00B87CF7"/>
    <w:rsid w:val="00B90CE1"/>
    <w:rsid w:val="00BA03E0"/>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2FF"/>
    <w:rsid w:val="00C717DA"/>
    <w:rsid w:val="00C727B3"/>
    <w:rsid w:val="00C72BA2"/>
    <w:rsid w:val="00C84E4C"/>
    <w:rsid w:val="00C87044"/>
    <w:rsid w:val="00C92D0D"/>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B7CEF"/>
    <w:rsid w:val="00DC0952"/>
    <w:rsid w:val="00DC2340"/>
    <w:rsid w:val="00DC30DA"/>
    <w:rsid w:val="00DC529F"/>
    <w:rsid w:val="00DE0F07"/>
    <w:rsid w:val="00DE2323"/>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B5DA5"/>
    <w:rsid w:val="00EC1621"/>
    <w:rsid w:val="00EC1FF0"/>
    <w:rsid w:val="00EC662E"/>
    <w:rsid w:val="00ED07FE"/>
    <w:rsid w:val="00ED0B7D"/>
    <w:rsid w:val="00EE049D"/>
    <w:rsid w:val="00EE2721"/>
    <w:rsid w:val="00EE2A0B"/>
    <w:rsid w:val="00EE5EE2"/>
    <w:rsid w:val="00EF6029"/>
    <w:rsid w:val="00F12C15"/>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34BC"/>
  <w15:chartTrackingRefBased/>
  <w15:docId w15:val="{3199C6AB-FAE5-4B80-9018-27186F528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955EDF"/>
    <w:rPr>
      <w:color w:val="0000FF"/>
      <w:u w:val="single"/>
    </w:rPr>
  </w:style>
  <w:style w:type="paragraph" w:styleId="Funotentext">
    <w:name w:val="footnote text"/>
    <w:basedOn w:val="Standard"/>
    <w:link w:val="FunotentextZchn"/>
    <w:uiPriority w:val="99"/>
    <w:semiHidden/>
    <w:unhideWhenUsed/>
    <w:rsid w:val="00955EDF"/>
    <w:pPr>
      <w:tabs>
        <w:tab w:val="clear" w:pos="340"/>
        <w:tab w:val="clear" w:pos="595"/>
        <w:tab w:val="clear" w:pos="851"/>
      </w:tabs>
      <w:spacing w:line="240" w:lineRule="auto"/>
    </w:pPr>
    <w:rPr>
      <w:rFonts w:asciiTheme="minorHAnsi" w:hAnsiTheme="minorHAnsi"/>
      <w:kern w:val="2"/>
      <w:sz w:val="20"/>
      <w:szCs w:val="20"/>
      <w14:ligatures w14:val="standardContextual"/>
    </w:rPr>
  </w:style>
  <w:style w:type="character" w:customStyle="1" w:styleId="FunotentextZchn">
    <w:name w:val="Fußnotentext Zchn"/>
    <w:basedOn w:val="Absatz-Standardschriftart"/>
    <w:link w:val="Funotentext"/>
    <w:uiPriority w:val="99"/>
    <w:semiHidden/>
    <w:rsid w:val="00955EDF"/>
    <w:rPr>
      <w:kern w:val="2"/>
      <w:sz w:val="20"/>
      <w:szCs w:val="20"/>
      <w14:ligatures w14:val="standardContextual"/>
    </w:rPr>
  </w:style>
  <w:style w:type="character" w:styleId="Funotenzeichen">
    <w:name w:val="footnote reference"/>
    <w:basedOn w:val="Absatz-Standardschriftart"/>
    <w:uiPriority w:val="99"/>
    <w:semiHidden/>
    <w:unhideWhenUsed/>
    <w:rsid w:val="00955EDF"/>
    <w:rPr>
      <w:vertAlign w:val="superscript"/>
    </w:rPr>
  </w:style>
  <w:style w:type="character" w:styleId="NichtaufgelsteErwhnung">
    <w:name w:val="Unresolved Mention"/>
    <w:basedOn w:val="Absatz-Standardschriftart"/>
    <w:uiPriority w:val="99"/>
    <w:semiHidden/>
    <w:unhideWhenUsed/>
    <w:rsid w:val="00EB5DA5"/>
    <w:rPr>
      <w:color w:val="605E5C"/>
      <w:shd w:val="clear" w:color="auto" w:fill="E1DFDD"/>
    </w:rPr>
  </w:style>
  <w:style w:type="character" w:customStyle="1" w:styleId="mw-mmv-source">
    <w:name w:val="mw-mmv-source"/>
    <w:basedOn w:val="Absatz-Standardschriftart"/>
    <w:rsid w:val="00955EDF"/>
  </w:style>
  <w:style w:type="paragraph" w:styleId="Endnotentext">
    <w:name w:val="endnote text"/>
    <w:basedOn w:val="Standard"/>
    <w:link w:val="EndnotentextZchn"/>
    <w:uiPriority w:val="99"/>
    <w:semiHidden/>
    <w:unhideWhenUsed/>
    <w:rsid w:val="002B5B2E"/>
    <w:pPr>
      <w:spacing w:line="240" w:lineRule="auto"/>
    </w:pPr>
    <w:rPr>
      <w:sz w:val="20"/>
      <w:szCs w:val="20"/>
    </w:rPr>
  </w:style>
  <w:style w:type="character" w:customStyle="1" w:styleId="EndnotentextZchn">
    <w:name w:val="Endnotentext Zchn"/>
    <w:basedOn w:val="Absatz-Standardschriftart"/>
    <w:link w:val="Endnotentext"/>
    <w:uiPriority w:val="99"/>
    <w:semiHidden/>
    <w:rsid w:val="002B5B2E"/>
    <w:rPr>
      <w:rFonts w:ascii="Arial" w:hAnsi="Arial"/>
      <w:sz w:val="20"/>
      <w:szCs w:val="20"/>
    </w:rPr>
  </w:style>
  <w:style w:type="character" w:styleId="Endnotenzeichen">
    <w:name w:val="endnote reference"/>
    <w:basedOn w:val="Absatz-Standardschriftart"/>
    <w:uiPriority w:val="99"/>
    <w:semiHidden/>
    <w:unhideWhenUsed/>
    <w:rsid w:val="002B5B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99488">
      <w:bodyDiv w:val="1"/>
      <w:marLeft w:val="0"/>
      <w:marRight w:val="0"/>
      <w:marTop w:val="0"/>
      <w:marBottom w:val="0"/>
      <w:divBdr>
        <w:top w:val="none" w:sz="0" w:space="0" w:color="auto"/>
        <w:left w:val="none" w:sz="0" w:space="0" w:color="auto"/>
        <w:bottom w:val="none" w:sz="0" w:space="0" w:color="auto"/>
        <w:right w:val="none" w:sz="0" w:space="0" w:color="auto"/>
      </w:divBdr>
    </w:div>
    <w:div w:id="880284354">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 w:id="135229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ktrum.de/news/wie-australiens-waldbraende-2019-20-die-ozonschicht-zerstoerten/211788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79160-7ADF-4807-ABB1-05B60D33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391</Words>
  <Characters>2470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2016-12-23T16:36:00Z</cp:lastPrinted>
  <dcterms:created xsi:type="dcterms:W3CDTF">2023-12-01T10:32:00Z</dcterms:created>
  <dcterms:modified xsi:type="dcterms:W3CDTF">2023-12-15T10:58:00Z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