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3162A" w14:textId="77777777" w:rsidR="004C3198" w:rsidRDefault="004C3198" w:rsidP="004C3198">
      <w:pPr>
        <w:pStyle w:val="ekvue1arial"/>
      </w:pPr>
      <w:r>
        <w:t xml:space="preserve">Beispiel-Lösungen zum Arbeitsblatt: </w:t>
      </w:r>
    </w:p>
    <w:p w14:paraId="1A5C9E9A" w14:textId="2E53355E" w:rsidR="00185DA1" w:rsidRPr="0052348C" w:rsidRDefault="004C3198" w:rsidP="004C3198">
      <w:pPr>
        <w:pStyle w:val="ekvue1arial"/>
      </w:pPr>
      <w:r>
        <w:t>„Kehrt das Ozonloch zurück?“</w:t>
      </w:r>
    </w:p>
    <w:p w14:paraId="6E3D4A1E" w14:textId="77777777" w:rsidR="00185DA1" w:rsidRPr="0052348C" w:rsidRDefault="00185DA1" w:rsidP="00185DA1"/>
    <w:p w14:paraId="39814C5A" w14:textId="77777777" w:rsidR="004C3198" w:rsidRDefault="00955EDF" w:rsidP="004C3198">
      <w:pPr>
        <w:pStyle w:val="ekvaufzhlung1"/>
        <w:tabs>
          <w:tab w:val="clear" w:pos="794"/>
          <w:tab w:val="clear" w:pos="936"/>
          <w:tab w:val="clear" w:pos="1191"/>
        </w:tabs>
        <w:ind w:left="709" w:hanging="369"/>
      </w:pPr>
      <w:r w:rsidRPr="00EB5DA5">
        <w:rPr>
          <w:rStyle w:val="ekvnummerierung"/>
        </w:rPr>
        <w:t>1.</w:t>
      </w:r>
      <w:r>
        <w:tab/>
      </w:r>
      <w:r w:rsidRPr="00576BE3">
        <w:rPr>
          <w:rStyle w:val="ekvfett"/>
          <w:b w:val="0"/>
          <w:bCs/>
        </w:rPr>
        <w:t>a)</w:t>
      </w:r>
      <w:r w:rsidR="004C3198">
        <w:rPr>
          <w:rStyle w:val="ekvfett"/>
          <w:b w:val="0"/>
          <w:bCs/>
        </w:rPr>
        <w:tab/>
      </w:r>
      <w:r w:rsidR="004C3198">
        <w:t xml:space="preserve">FCKW wurden als Treibmittel in Sprays, als Kältemittel, in Feuerlöschern und z.B. in der </w:t>
      </w:r>
      <w:r w:rsidR="004C3198">
        <w:tab/>
        <w:t xml:space="preserve">Elektronikindustrie eingesetzt. Die Verbindungen wurden (werden) nach DIN 8962 (1968) durch </w:t>
      </w:r>
    </w:p>
    <w:p w14:paraId="0DF77EA8" w14:textId="77777777" w:rsidR="004C3198" w:rsidRDefault="004C3198" w:rsidP="004C3198">
      <w:pPr>
        <w:pStyle w:val="ekvaufzhlung1"/>
        <w:tabs>
          <w:tab w:val="clear" w:pos="794"/>
          <w:tab w:val="clear" w:pos="936"/>
          <w:tab w:val="clear" w:pos="1191"/>
        </w:tabs>
        <w:ind w:left="709" w:hanging="369"/>
      </w:pPr>
      <w:r>
        <w:rPr>
          <w:rStyle w:val="ekvnummerierung"/>
        </w:rPr>
        <w:tab/>
      </w:r>
      <w:r>
        <w:rPr>
          <w:rStyle w:val="ekvnummerierung"/>
        </w:rPr>
        <w:tab/>
      </w:r>
      <w:r>
        <w:t xml:space="preserve">den Buchstaben R gekennzeichnet (von r = </w:t>
      </w:r>
      <w:proofErr w:type="spellStart"/>
      <w:r>
        <w:t>refrigerant</w:t>
      </w:r>
      <w:proofErr w:type="spellEnd"/>
      <w:r>
        <w:t xml:space="preserve"> = Kältemittel). So steht z.B. R11 für </w:t>
      </w:r>
    </w:p>
    <w:p w14:paraId="1A0181E8" w14:textId="1E4B0664" w:rsidR="00955EDF" w:rsidRDefault="004C3198" w:rsidP="004C3198">
      <w:pPr>
        <w:pStyle w:val="ekvaufzhlung1"/>
        <w:tabs>
          <w:tab w:val="clear" w:pos="794"/>
          <w:tab w:val="clear" w:pos="936"/>
          <w:tab w:val="clear" w:pos="1191"/>
        </w:tabs>
        <w:ind w:left="1134" w:hanging="369"/>
      </w:pPr>
      <w:r>
        <w:tab/>
      </w:r>
      <w:proofErr w:type="spellStart"/>
      <w:r>
        <w:t>Trichlorfluormethan</w:t>
      </w:r>
      <w:proofErr w:type="spellEnd"/>
      <w:r>
        <w:t xml:space="preserve"> (CCl</w:t>
      </w:r>
      <w:r w:rsidRPr="00990149">
        <w:rPr>
          <w:vertAlign w:val="subscript"/>
        </w:rPr>
        <w:t>3</w:t>
      </w:r>
      <w:r>
        <w:t xml:space="preserve">F), R12 für </w:t>
      </w:r>
      <w:proofErr w:type="spellStart"/>
      <w:r>
        <w:t>Dichlordifluormethan</w:t>
      </w:r>
      <w:proofErr w:type="spellEnd"/>
      <w:r>
        <w:t xml:space="preserve"> (CCl</w:t>
      </w:r>
      <w:r w:rsidRPr="00990149">
        <w:rPr>
          <w:vertAlign w:val="subscript"/>
        </w:rPr>
        <w:t>2</w:t>
      </w:r>
      <w:r>
        <w:t>F</w:t>
      </w:r>
      <w:r w:rsidRPr="00990149">
        <w:rPr>
          <w:vertAlign w:val="subscript"/>
        </w:rPr>
        <w:t>2</w:t>
      </w:r>
      <w:r>
        <w:t>). Von diesen beiden damals technisch bedeutsamsten FCKW wurden bis Ende 1980 ca. 4 Millionen Tonnen R11 und 6 Millionen Tonnen R12 emittiert. 1987 wurde zunächst beschlossen, den Verbrauch auf den Stand von 1986 einzufrieren und dann ab 1992 ständig zu verringern. Eine weitere Vereinbarung sah dann ab 1995 das Verbot der Produktion und des Verbrauchs sämtlicher FCKW vor.</w:t>
      </w:r>
    </w:p>
    <w:p w14:paraId="669769AC" w14:textId="77777777" w:rsidR="004C3198" w:rsidRPr="00576BE3" w:rsidRDefault="004C3198" w:rsidP="00491A7F">
      <w:pPr>
        <w:pStyle w:val="ekvaufzhlung2"/>
        <w:tabs>
          <w:tab w:val="clear" w:pos="1134"/>
          <w:tab w:val="clear" w:pos="1276"/>
          <w:tab w:val="clear" w:pos="1474"/>
          <w:tab w:val="clear" w:pos="1531"/>
        </w:tabs>
        <w:ind w:left="1134" w:hanging="425"/>
        <w:rPr>
          <w:rStyle w:val="ekvfett"/>
          <w:b w:val="0"/>
          <w:bCs/>
        </w:rPr>
      </w:pPr>
    </w:p>
    <w:p w14:paraId="46E17247" w14:textId="3CE607FB" w:rsidR="00955EDF" w:rsidRDefault="00955EDF" w:rsidP="00491A7F">
      <w:pPr>
        <w:pStyle w:val="ekvaufzhlung2"/>
        <w:tabs>
          <w:tab w:val="clear" w:pos="1134"/>
          <w:tab w:val="clear" w:pos="1276"/>
          <w:tab w:val="clear" w:pos="1474"/>
          <w:tab w:val="clear" w:pos="1531"/>
        </w:tabs>
        <w:ind w:left="1134" w:hanging="425"/>
      </w:pPr>
      <w:r w:rsidRPr="00576BE3">
        <w:rPr>
          <w:rStyle w:val="ekvfett"/>
          <w:b w:val="0"/>
          <w:bCs/>
        </w:rPr>
        <w:t>b)</w:t>
      </w:r>
      <w:r w:rsidR="00491A7F" w:rsidRPr="00576BE3">
        <w:rPr>
          <w:rStyle w:val="ekvfett"/>
          <w:b w:val="0"/>
          <w:bCs/>
        </w:rPr>
        <w:tab/>
      </w:r>
      <w:r w:rsidR="004C3198">
        <w:t xml:space="preserve">Mit den angegebenen Daten wäre das bis 2045. Man geht jedoch davon aus, dass die Konzentration der FCKW nicht im erwarteten Maße abnimmt, sodass mit einem größeren Ozonloch noch bis über 2050 </w:t>
      </w:r>
      <w:proofErr w:type="gramStart"/>
      <w:r w:rsidR="004C3198">
        <w:t>hinaus zu rechnen</w:t>
      </w:r>
      <w:proofErr w:type="gramEnd"/>
      <w:r w:rsidR="004C3198">
        <w:t xml:space="preserve"> ist.</w:t>
      </w:r>
    </w:p>
    <w:p w14:paraId="53CC5707" w14:textId="77777777" w:rsidR="004C3198" w:rsidRPr="00576BE3" w:rsidRDefault="004C3198" w:rsidP="00491A7F">
      <w:pPr>
        <w:pStyle w:val="ekvaufzhlung2"/>
        <w:tabs>
          <w:tab w:val="clear" w:pos="1134"/>
          <w:tab w:val="clear" w:pos="1276"/>
          <w:tab w:val="clear" w:pos="1474"/>
          <w:tab w:val="clear" w:pos="1531"/>
        </w:tabs>
        <w:ind w:left="1134" w:hanging="425"/>
        <w:rPr>
          <w:rStyle w:val="ekvfett"/>
          <w:b w:val="0"/>
          <w:bCs/>
        </w:rPr>
      </w:pPr>
    </w:p>
    <w:p w14:paraId="51E9F531" w14:textId="3412A948" w:rsidR="00955EDF" w:rsidRPr="00576BE3" w:rsidRDefault="00955EDF" w:rsidP="00491A7F">
      <w:pPr>
        <w:pStyle w:val="ekvaufzhlung2"/>
        <w:tabs>
          <w:tab w:val="clear" w:pos="1134"/>
          <w:tab w:val="clear" w:pos="1276"/>
          <w:tab w:val="clear" w:pos="1474"/>
          <w:tab w:val="clear" w:pos="1531"/>
        </w:tabs>
        <w:ind w:left="1134" w:hanging="425"/>
        <w:rPr>
          <w:rStyle w:val="ekvfett"/>
          <w:b w:val="0"/>
          <w:bCs/>
        </w:rPr>
      </w:pPr>
      <w:r w:rsidRPr="00576BE3">
        <w:rPr>
          <w:rStyle w:val="ekvfett"/>
          <w:b w:val="0"/>
          <w:bCs/>
        </w:rPr>
        <w:t>c)</w:t>
      </w:r>
      <w:r w:rsidR="00491A7F" w:rsidRPr="00576BE3">
        <w:rPr>
          <w:rStyle w:val="ekvfett"/>
          <w:b w:val="0"/>
          <w:bCs/>
        </w:rPr>
        <w:tab/>
      </w:r>
      <w:r w:rsidR="004C3198">
        <w:t>CClF</w:t>
      </w:r>
      <w:r w:rsidR="004C3198" w:rsidRPr="00BA524B">
        <w:rPr>
          <w:vertAlign w:val="subscript"/>
        </w:rPr>
        <w:t>3</w:t>
      </w:r>
      <w:r w:rsidR="004C3198">
        <w:t xml:space="preserve"> wird zu CF</w:t>
      </w:r>
      <w:r w:rsidR="004C3198" w:rsidRPr="00BA524B">
        <w:rPr>
          <w:vertAlign w:val="subscript"/>
        </w:rPr>
        <w:t>3</w:t>
      </w:r>
      <w:r w:rsidR="004C3198">
        <w:t xml:space="preserve"> und Cl reagieren, da das Molekül ja ein Chlor-Atom liefert, das mit Ozon reagiert. CClF</w:t>
      </w:r>
      <w:r w:rsidR="004C3198" w:rsidRPr="00BA524B">
        <w:rPr>
          <w:vertAlign w:val="subscript"/>
        </w:rPr>
        <w:t>3</w:t>
      </w:r>
      <w:r w:rsidR="004C3198">
        <w:t xml:space="preserve">  </w:t>
      </w:r>
      <w:r w:rsidR="004C3198">
        <w:sym w:font="Wingdings" w:char="F0E0"/>
      </w:r>
      <w:r w:rsidR="004C3198">
        <w:t xml:space="preserve">  CF</w:t>
      </w:r>
      <w:proofErr w:type="gramStart"/>
      <w:r w:rsidR="004C3198" w:rsidRPr="00BA524B">
        <w:rPr>
          <w:vertAlign w:val="subscript"/>
        </w:rPr>
        <w:t>3</w:t>
      </w:r>
      <w:r w:rsidR="004C3198">
        <w:t xml:space="preserve">  +</w:t>
      </w:r>
      <w:proofErr w:type="gramEnd"/>
      <w:r w:rsidR="004C3198">
        <w:t xml:space="preserve">  Cl  ( CF</w:t>
      </w:r>
      <w:r w:rsidR="004C3198" w:rsidRPr="00BA524B">
        <w:rPr>
          <w:vertAlign w:val="subscript"/>
        </w:rPr>
        <w:t>3</w:t>
      </w:r>
      <w:r w:rsidR="004C3198">
        <w:t xml:space="preserve"> und Cl sind Radikale)</w:t>
      </w:r>
    </w:p>
    <w:p w14:paraId="17704C1E" w14:textId="77777777" w:rsidR="00955EDF" w:rsidRDefault="00955EDF" w:rsidP="00955EDF"/>
    <w:p w14:paraId="0E6C933B" w14:textId="77777777" w:rsidR="004C3198" w:rsidRDefault="00955EDF" w:rsidP="004C3198">
      <w:pPr>
        <w:tabs>
          <w:tab w:val="clear" w:pos="340"/>
          <w:tab w:val="clear" w:pos="595"/>
          <w:tab w:val="clear" w:pos="851"/>
          <w:tab w:val="left" w:pos="1134"/>
        </w:tabs>
        <w:spacing w:line="240" w:lineRule="auto"/>
        <w:ind w:left="709" w:hanging="425"/>
      </w:pPr>
      <w:r w:rsidRPr="00EB5DA5">
        <w:rPr>
          <w:rStyle w:val="ekvnummerierung"/>
        </w:rPr>
        <w:t>2.</w:t>
      </w:r>
      <w:r>
        <w:tab/>
      </w:r>
      <w:r w:rsidRPr="004C3198">
        <w:rPr>
          <w:rStyle w:val="ekvfett"/>
          <w:b w:val="0"/>
          <w:bCs/>
        </w:rPr>
        <w:t>a)</w:t>
      </w:r>
      <w:r w:rsidR="00491A7F" w:rsidRPr="004C3198">
        <w:rPr>
          <w:rStyle w:val="ekvfett"/>
          <w:b w:val="0"/>
          <w:bCs/>
        </w:rPr>
        <w:tab/>
      </w:r>
      <w:r w:rsidR="004C3198">
        <w:t xml:space="preserve">Der </w:t>
      </w:r>
      <w:proofErr w:type="spellStart"/>
      <w:r w:rsidR="004C3198">
        <w:t>Hunga</w:t>
      </w:r>
      <w:proofErr w:type="spellEnd"/>
      <w:r w:rsidR="004C3198">
        <w:t xml:space="preserve"> Tonga-</w:t>
      </w:r>
      <w:proofErr w:type="spellStart"/>
      <w:r w:rsidR="004C3198">
        <w:t>Hunga</w:t>
      </w:r>
      <w:proofErr w:type="spellEnd"/>
      <w:r w:rsidR="004C3198">
        <w:t xml:space="preserve"> </w:t>
      </w:r>
      <w:proofErr w:type="spellStart"/>
      <w:r w:rsidR="004C3198">
        <w:t>Ha’apai</w:t>
      </w:r>
      <w:proofErr w:type="spellEnd"/>
      <w:r w:rsidR="004C3198">
        <w:t xml:space="preserve"> liegt im Pazifik im Inselstaat Tonga. Der Unterwasservulkan </w:t>
      </w:r>
    </w:p>
    <w:p w14:paraId="2026E2B5" w14:textId="7B71D6C2" w:rsidR="004C3198" w:rsidRDefault="004C3198" w:rsidP="004C3198">
      <w:pPr>
        <w:tabs>
          <w:tab w:val="clear" w:pos="340"/>
          <w:tab w:val="clear" w:pos="595"/>
          <w:tab w:val="clear" w:pos="851"/>
          <w:tab w:val="left" w:pos="1134"/>
        </w:tabs>
        <w:spacing w:line="240" w:lineRule="auto"/>
        <w:ind w:left="1134" w:hanging="425"/>
      </w:pPr>
      <w:r>
        <w:rPr>
          <w:rStyle w:val="ekvnummerierung"/>
        </w:rPr>
        <w:tab/>
      </w:r>
      <w:r>
        <w:t xml:space="preserve">liegt in der Inselgruppe </w:t>
      </w:r>
      <w:proofErr w:type="spellStart"/>
      <w:r>
        <w:t>Ha’apai</w:t>
      </w:r>
      <w:proofErr w:type="spellEnd"/>
      <w:r>
        <w:t xml:space="preserve">, etwa 64 km nördlich der Hauptinsel </w:t>
      </w:r>
      <w:proofErr w:type="spellStart"/>
      <w:r>
        <w:t>Tongatapu</w:t>
      </w:r>
      <w:proofErr w:type="spellEnd"/>
      <w:r>
        <w:t>. Die Koordinaten sind: etwa 20° südlicher Breite und 175° westlicher Länge.</w:t>
      </w:r>
    </w:p>
    <w:p w14:paraId="0ED3F57A" w14:textId="32623E91" w:rsidR="004C3198" w:rsidRDefault="004C3198" w:rsidP="004C3198">
      <w:pPr>
        <w:pStyle w:val="Listenabsatz"/>
        <w:tabs>
          <w:tab w:val="clear" w:pos="340"/>
          <w:tab w:val="clear" w:pos="595"/>
          <w:tab w:val="clear" w:pos="851"/>
        </w:tabs>
        <w:ind w:left="1134" w:hanging="414"/>
      </w:pPr>
      <w:r>
        <w:tab/>
        <w:t>Die Aschewolke reichte bis in Höhen zwischen 25 und 35 km</w:t>
      </w:r>
    </w:p>
    <w:p w14:paraId="6F3846A7" w14:textId="77777777" w:rsidR="004C3198" w:rsidRDefault="004C3198" w:rsidP="004C3198">
      <w:pPr>
        <w:pStyle w:val="Listenabsatz"/>
        <w:tabs>
          <w:tab w:val="clear" w:pos="340"/>
          <w:tab w:val="clear" w:pos="595"/>
          <w:tab w:val="clear" w:pos="851"/>
        </w:tabs>
        <w:ind w:left="1134" w:hanging="414"/>
      </w:pPr>
    </w:p>
    <w:p w14:paraId="3B6BAC0C" w14:textId="7BF03377" w:rsidR="00955EDF" w:rsidRPr="00576BE3" w:rsidRDefault="00955EDF" w:rsidP="004C3198">
      <w:pPr>
        <w:pStyle w:val="ekvaufzhlung1"/>
        <w:tabs>
          <w:tab w:val="clear" w:pos="794"/>
          <w:tab w:val="clear" w:pos="936"/>
          <w:tab w:val="clear" w:pos="1191"/>
        </w:tabs>
        <w:ind w:left="1134" w:hanging="425"/>
        <w:rPr>
          <w:b/>
          <w:bCs/>
        </w:rPr>
      </w:pPr>
      <w:r w:rsidRPr="00576BE3">
        <w:rPr>
          <w:rStyle w:val="ekvfett"/>
          <w:b w:val="0"/>
          <w:bCs/>
        </w:rPr>
        <w:t>b)</w:t>
      </w:r>
      <w:r w:rsidR="00491A7F" w:rsidRPr="00576BE3">
        <w:rPr>
          <w:rStyle w:val="ekvfett"/>
          <w:b w:val="0"/>
          <w:bCs/>
        </w:rPr>
        <w:tab/>
      </w:r>
      <w:r w:rsidR="004C3198">
        <w:t xml:space="preserve">Die für die Zerstörung des Ozons wichtigen Chlorverbindungen werden in Wolken aus Wasserdampf gespeichert. In diesen Wolken spielt auch Salzsäure eine Rolle. Beim Ausbruch des </w:t>
      </w:r>
      <w:proofErr w:type="spellStart"/>
      <w:r w:rsidR="004C3198">
        <w:t>Hunga</w:t>
      </w:r>
      <w:proofErr w:type="spellEnd"/>
      <w:r w:rsidR="004C3198">
        <w:t xml:space="preserve"> Tonga gelangten mit dem Meerwasser auch Salze wie z.B. Natriumchlorid in die Stratosphäre. Auch die Chlorid-Ionen im Meerwasser könnten eine Rolle spielen.</w:t>
      </w:r>
    </w:p>
    <w:p w14:paraId="2CB42306" w14:textId="77777777" w:rsidR="00955EDF" w:rsidRDefault="00955EDF" w:rsidP="00955EDF">
      <w:pPr>
        <w:pStyle w:val="Listenabsatz"/>
        <w:ind w:left="1068"/>
      </w:pPr>
    </w:p>
    <w:p w14:paraId="1CDB42D5" w14:textId="77777777" w:rsidR="004C3198" w:rsidRDefault="00955EDF" w:rsidP="004C3198">
      <w:pPr>
        <w:pStyle w:val="ekvaufzhlung1"/>
      </w:pPr>
      <w:r w:rsidRPr="00EB5DA5">
        <w:rPr>
          <w:rStyle w:val="ekvnummerierung"/>
        </w:rPr>
        <w:t>3.</w:t>
      </w:r>
      <w:r>
        <w:tab/>
      </w:r>
      <w:r w:rsidRPr="00576BE3">
        <w:rPr>
          <w:rStyle w:val="ekvfett"/>
          <w:b w:val="0"/>
          <w:bCs/>
        </w:rPr>
        <w:t>a)</w:t>
      </w:r>
      <w:r w:rsidR="004C3198">
        <w:rPr>
          <w:rStyle w:val="ekvfett"/>
          <w:b w:val="0"/>
          <w:bCs/>
        </w:rPr>
        <w:tab/>
      </w:r>
      <w:r w:rsidR="004C3198">
        <w:rPr>
          <w:rStyle w:val="ekvfett"/>
          <w:b w:val="0"/>
          <w:bCs/>
        </w:rPr>
        <w:tab/>
      </w:r>
      <w:r w:rsidR="004C3198">
        <w:t xml:space="preserve">In Australien gibt es im Sommer – das entspricht bei uns dem Winter – immer wieder </w:t>
      </w:r>
    </w:p>
    <w:p w14:paraId="2C969AB7" w14:textId="76C5F182" w:rsidR="00955EDF" w:rsidRDefault="004C3198" w:rsidP="004C3198">
      <w:pPr>
        <w:pStyle w:val="ekvaufzhlung1"/>
        <w:ind w:left="1134"/>
      </w:pPr>
      <w:r>
        <w:rPr>
          <w:rStyle w:val="ekvnummerierung"/>
        </w:rPr>
        <w:tab/>
      </w:r>
      <w:r>
        <w:rPr>
          <w:rStyle w:val="ekvnummerierung"/>
        </w:rPr>
        <w:tab/>
      </w:r>
      <w:r>
        <w:t xml:space="preserve">Buschbrände. Im Sommer 2019/2020 hat man gemessen, dass Aschewolken bis in die Stratosphäre gelangten. Die Brände suchen Australien im Südosten heim. Diese Region </w:t>
      </w:r>
      <w:proofErr w:type="gramStart"/>
      <w:r>
        <w:t>liegt relativ</w:t>
      </w:r>
      <w:proofErr w:type="gramEnd"/>
      <w:r>
        <w:t xml:space="preserve"> nah an der Antarktis. Canberra z. B. liegt auf dem 35. Breitengrad südlicher Breite. Die Antarktis beginnt etwa bei dem 60. Breitengrad (je größer der Breitengrad, desto näher am Südpol).</w:t>
      </w:r>
    </w:p>
    <w:p w14:paraId="008F1709" w14:textId="77777777" w:rsidR="00EB7926" w:rsidRPr="00576BE3" w:rsidRDefault="00EB7926" w:rsidP="004C3198">
      <w:pPr>
        <w:pStyle w:val="ekvaufzhlung1"/>
        <w:ind w:left="1134"/>
        <w:rPr>
          <w:rStyle w:val="ekvfett"/>
          <w:b w:val="0"/>
          <w:bCs/>
        </w:rPr>
      </w:pPr>
    </w:p>
    <w:p w14:paraId="0BE783AA" w14:textId="19D38C6B" w:rsidR="002B5B2E" w:rsidRPr="004C3198" w:rsidRDefault="00955EDF" w:rsidP="004C3198">
      <w:pPr>
        <w:pStyle w:val="ekvaufzhlung2"/>
        <w:tabs>
          <w:tab w:val="clear" w:pos="1134"/>
          <w:tab w:val="clear" w:pos="1276"/>
          <w:tab w:val="clear" w:pos="1474"/>
          <w:tab w:val="clear" w:pos="1531"/>
        </w:tabs>
        <w:ind w:left="1134" w:hanging="454"/>
        <w:rPr>
          <w:bCs/>
        </w:rPr>
      </w:pPr>
      <w:r w:rsidRPr="00576BE3">
        <w:rPr>
          <w:rStyle w:val="ekvfett"/>
          <w:b w:val="0"/>
          <w:bCs/>
        </w:rPr>
        <w:t>b)</w:t>
      </w:r>
      <w:r w:rsidR="00491A7F" w:rsidRPr="00576BE3">
        <w:rPr>
          <w:rStyle w:val="ekvfett"/>
          <w:b w:val="0"/>
          <w:bCs/>
        </w:rPr>
        <w:tab/>
      </w:r>
      <w:r w:rsidR="00EB7926">
        <w:t>Die Ruß- und Staubteilchen in den Aschewolken könnten Einfluss auf die Reaktionen in der Stratosphäre haben. Ruß ist dafür bekannt, dass Stoffe daran adsorbiert werden können, wie z.B. Salzsäure, die dann über die Aschewolken in die Stratosphäre gelangt.</w:t>
      </w:r>
    </w:p>
    <w:p w14:paraId="1EFC5669" w14:textId="77777777" w:rsidR="00DB7CEF" w:rsidRDefault="00DB7CEF" w:rsidP="002B5B2E">
      <w:pPr>
        <w:pStyle w:val="ekvfussnote"/>
      </w:pPr>
    </w:p>
    <w:p w14:paraId="3F311803" w14:textId="77777777" w:rsidR="00DB7CEF" w:rsidRDefault="00DB7CEF" w:rsidP="002B5B2E">
      <w:pPr>
        <w:pStyle w:val="ekvfussnote"/>
      </w:pPr>
    </w:p>
    <w:p w14:paraId="2E545683" w14:textId="77777777" w:rsidR="009A4E51" w:rsidRDefault="009A4E51" w:rsidP="002B5B2E">
      <w:pPr>
        <w:pStyle w:val="ekvfussnote"/>
      </w:pPr>
    </w:p>
    <w:p w14:paraId="50EC0F64" w14:textId="66AAE3F2" w:rsidR="002B5B2E" w:rsidRDefault="002B5B2E" w:rsidP="00DB7CEF">
      <w:pPr>
        <w:pStyle w:val="ekvbildlegende"/>
        <w:tabs>
          <w:tab w:val="clear" w:pos="340"/>
          <w:tab w:val="clear" w:pos="595"/>
          <w:tab w:val="clear" w:pos="851"/>
        </w:tabs>
      </w:pPr>
    </w:p>
    <w:sectPr w:rsidR="002B5B2E" w:rsidSect="009A4E51">
      <w:headerReference w:type="default" r:id="rId8"/>
      <w:footerReference w:type="default" r:id="rId9"/>
      <w:type w:val="continuous"/>
      <w:pgSz w:w="11906" w:h="16838" w:code="9"/>
      <w:pgMar w:top="1758" w:right="1276" w:bottom="1276"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A852C" w14:textId="77777777" w:rsidR="00DF5B57" w:rsidRDefault="00DF5B57" w:rsidP="003C599D">
      <w:pPr>
        <w:spacing w:line="240" w:lineRule="auto"/>
      </w:pPr>
      <w:r>
        <w:separator/>
      </w:r>
    </w:p>
  </w:endnote>
  <w:endnote w:type="continuationSeparator" w:id="0">
    <w:p w14:paraId="6A8A753E" w14:textId="77777777" w:rsidR="00DF5B57" w:rsidRDefault="00DF5B5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D5E17DB" w14:textId="77777777" w:rsidTr="00503EE6">
      <w:trPr>
        <w:trHeight w:hRule="exact" w:val="680"/>
      </w:trPr>
      <w:tc>
        <w:tcPr>
          <w:tcW w:w="864" w:type="dxa"/>
          <w:noWrap/>
        </w:tcPr>
        <w:p w14:paraId="3B805095" w14:textId="77777777" w:rsidR="002659C5" w:rsidRPr="00913892" w:rsidRDefault="002659C5" w:rsidP="005E4C30">
          <w:pPr>
            <w:pStyle w:val="ekvpaginabild"/>
            <w:jc w:val="both"/>
          </w:pPr>
          <w:r w:rsidRPr="00913892">
            <w:rPr>
              <w:noProof/>
              <w:lang w:eastAsia="de-DE"/>
            </w:rPr>
            <w:drawing>
              <wp:inline distT="0" distB="0" distL="0" distR="0" wp14:anchorId="51F6D73E" wp14:editId="05AC3D6B">
                <wp:extent cx="468000" cy="234000"/>
                <wp:effectExtent l="0" t="0" r="8255" b="0"/>
                <wp:docPr id="1422639383" name="Grafik 1422639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4A03EB8" w14:textId="2B50A33E" w:rsidR="002659C5" w:rsidRPr="00913892" w:rsidRDefault="002659C5" w:rsidP="00503EE6">
          <w:pPr>
            <w:pStyle w:val="ekvpagina"/>
          </w:pPr>
          <w:r w:rsidRPr="00913892">
            <w:t xml:space="preserve">© Ernst Klett Verlag GmbH, </w:t>
          </w:r>
          <w:r w:rsidR="00CF40E8">
            <w:t>Stuttgart 20</w:t>
          </w:r>
          <w:r w:rsidR="006912A7">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82D6F7F" w14:textId="3C85CC3B" w:rsidR="002659C5" w:rsidRPr="00913892" w:rsidRDefault="000E200F" w:rsidP="000E200F">
          <w:pPr>
            <w:pStyle w:val="ekvquelle"/>
          </w:pPr>
          <w:r w:rsidRPr="000E200F">
            <w:rPr>
              <w:rStyle w:val="ekvquellefett"/>
            </w:rPr>
            <w:t>Text:</w:t>
          </w:r>
          <w:r>
            <w:t xml:space="preserve"> </w:t>
          </w:r>
          <w:r w:rsidR="00394FB3">
            <w:t>Michael Sternberg</w:t>
          </w:r>
        </w:p>
      </w:tc>
      <w:tc>
        <w:tcPr>
          <w:tcW w:w="813" w:type="dxa"/>
        </w:tcPr>
        <w:p w14:paraId="321B5379" w14:textId="77777777" w:rsidR="002659C5" w:rsidRPr="00913892" w:rsidRDefault="002659C5" w:rsidP="00913892">
          <w:pPr>
            <w:pStyle w:val="ekvpagina"/>
          </w:pPr>
        </w:p>
      </w:tc>
    </w:tr>
  </w:tbl>
  <w:p w14:paraId="7DC610A9"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A7995" w14:textId="77777777" w:rsidR="00DF5B57" w:rsidRDefault="00DF5B57" w:rsidP="003C599D">
      <w:pPr>
        <w:spacing w:line="240" w:lineRule="auto"/>
      </w:pPr>
      <w:r>
        <w:separator/>
      </w:r>
    </w:p>
  </w:footnote>
  <w:footnote w:type="continuationSeparator" w:id="0">
    <w:p w14:paraId="018A9922" w14:textId="77777777" w:rsidR="00DF5B57" w:rsidRDefault="00DF5B5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65B787D" w14:textId="77777777" w:rsidTr="00431E62">
      <w:trPr>
        <w:trHeight w:hRule="exact" w:val="510"/>
      </w:trPr>
      <w:tc>
        <w:tcPr>
          <w:tcW w:w="818" w:type="dxa"/>
          <w:tcBorders>
            <w:top w:val="nil"/>
            <w:bottom w:val="nil"/>
            <w:right w:val="nil"/>
          </w:tcBorders>
          <w:noWrap/>
          <w:vAlign w:val="bottom"/>
        </w:tcPr>
        <w:p w14:paraId="4DC9D7E7" w14:textId="77777777" w:rsidR="00901B13" w:rsidRPr="00AE65F6" w:rsidRDefault="00901B13" w:rsidP="00901B13"/>
      </w:tc>
      <w:tc>
        <w:tcPr>
          <w:tcW w:w="3856" w:type="dxa"/>
          <w:tcBorders>
            <w:top w:val="nil"/>
            <w:left w:val="nil"/>
            <w:bottom w:val="nil"/>
            <w:right w:val="nil"/>
          </w:tcBorders>
          <w:noWrap/>
          <w:vAlign w:val="bottom"/>
        </w:tcPr>
        <w:p w14:paraId="536CA7B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A6BC9F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42ED29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3516229" w14:textId="50941DAF" w:rsidR="00901B13" w:rsidRPr="007C1230" w:rsidRDefault="00185DA1" w:rsidP="00901B13">
          <w:pPr>
            <w:pStyle w:val="ekvkvnummer"/>
          </w:pPr>
          <w:r>
            <w:t>KV</w:t>
          </w:r>
        </w:p>
      </w:tc>
      <w:tc>
        <w:tcPr>
          <w:tcW w:w="883" w:type="dxa"/>
          <w:tcBorders>
            <w:top w:val="nil"/>
            <w:left w:val="nil"/>
            <w:bottom w:val="nil"/>
          </w:tcBorders>
          <w:noWrap/>
          <w:vAlign w:val="bottom"/>
        </w:tcPr>
        <w:p w14:paraId="142FBC67" w14:textId="77777777" w:rsidR="00901B13" w:rsidRPr="007636A0" w:rsidRDefault="00901B13" w:rsidP="00901B13">
          <w:pPr>
            <w:pStyle w:val="ekvkapitel"/>
            <w:rPr>
              <w:color w:val="FFFFFF" w:themeColor="background1"/>
            </w:rPr>
          </w:pPr>
        </w:p>
      </w:tc>
    </w:tr>
    <w:tr w:rsidR="00901B13" w:rsidRPr="00BF17F2" w14:paraId="2D80681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E2A084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D8DA1AE" w14:textId="77777777" w:rsidR="00901B13" w:rsidRPr="00BF17F2" w:rsidRDefault="00901B13" w:rsidP="00901B13">
          <w:pPr>
            <w:rPr>
              <w:color w:val="FFFFFF" w:themeColor="background1"/>
            </w:rPr>
          </w:pPr>
        </w:p>
      </w:tc>
    </w:tr>
  </w:tbl>
  <w:p w14:paraId="322689C2"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959"/>
    <w:multiLevelType w:val="hybridMultilevel"/>
    <w:tmpl w:val="A1B899D0"/>
    <w:lvl w:ilvl="0" w:tplc="276809F0">
      <w:start w:val="4"/>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7624C9"/>
    <w:multiLevelType w:val="hybridMultilevel"/>
    <w:tmpl w:val="1B3082A2"/>
    <w:lvl w:ilvl="0" w:tplc="FFFFFFFF">
      <w:start w:val="1"/>
      <w:numFmt w:val="lowerLetter"/>
      <w:lvlText w:val="%1)"/>
      <w:lvlJc w:val="left"/>
      <w:pPr>
        <w:ind w:left="900" w:hanging="360"/>
      </w:pPr>
      <w:rPr>
        <w:rFonts w:ascii="Arial" w:eastAsiaTheme="minorHAnsi" w:hAnsi="Arial" w:cstheme="minorBidi"/>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1E270211"/>
    <w:multiLevelType w:val="hybridMultilevel"/>
    <w:tmpl w:val="88EA1032"/>
    <w:lvl w:ilvl="0" w:tplc="24D2001C">
      <w:start w:val="9"/>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434F12"/>
    <w:multiLevelType w:val="hybridMultilevel"/>
    <w:tmpl w:val="47C82754"/>
    <w:lvl w:ilvl="0" w:tplc="7584EA68">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4" w15:restartNumberingAfterBreak="0">
    <w:nsid w:val="25D87D55"/>
    <w:multiLevelType w:val="hybridMultilevel"/>
    <w:tmpl w:val="02F84A7C"/>
    <w:lvl w:ilvl="0" w:tplc="0CDA7D30">
      <w:start w:val="1"/>
      <w:numFmt w:val="lowerLetter"/>
      <w:lvlText w:val="%1)"/>
      <w:lvlJc w:val="left"/>
      <w:pPr>
        <w:ind w:left="900" w:hanging="360"/>
      </w:pPr>
      <w:rPr>
        <w:rFonts w:ascii="Arial" w:eastAsiaTheme="minorHAnsi" w:hAnsi="Arial" w:cstheme="minorBidi"/>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5" w15:restartNumberingAfterBreak="0">
    <w:nsid w:val="26BC2197"/>
    <w:multiLevelType w:val="hybridMultilevel"/>
    <w:tmpl w:val="551470CE"/>
    <w:lvl w:ilvl="0" w:tplc="6BE81F70">
      <w:start w:val="5"/>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55D600E"/>
    <w:multiLevelType w:val="hybridMultilevel"/>
    <w:tmpl w:val="D1A8C51A"/>
    <w:lvl w:ilvl="0" w:tplc="8BB2AEDC">
      <w:start w:val="3"/>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4A7942"/>
    <w:multiLevelType w:val="hybridMultilevel"/>
    <w:tmpl w:val="A57CFAC0"/>
    <w:lvl w:ilvl="0" w:tplc="0407000F">
      <w:start w:val="1"/>
      <w:numFmt w:val="decimal"/>
      <w:lvlText w:val="%1."/>
      <w:lvlJc w:val="left"/>
      <w:pPr>
        <w:ind w:left="720" w:hanging="360"/>
      </w:pPr>
    </w:lvl>
    <w:lvl w:ilvl="1" w:tplc="047E9BE2">
      <w:start w:val="1"/>
      <w:numFmt w:val="lowerLetter"/>
      <w:lvlText w:val="%2)"/>
      <w:lvlJc w:val="left"/>
      <w:pPr>
        <w:ind w:left="90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3E9A5443"/>
    <w:multiLevelType w:val="hybridMultilevel"/>
    <w:tmpl w:val="E0FEECD2"/>
    <w:lvl w:ilvl="0" w:tplc="B4940A92">
      <w:start w:val="7"/>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3B1E86"/>
    <w:multiLevelType w:val="hybridMultilevel"/>
    <w:tmpl w:val="732259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C44769"/>
    <w:multiLevelType w:val="hybridMultilevel"/>
    <w:tmpl w:val="F574E828"/>
    <w:lvl w:ilvl="0" w:tplc="04070017">
      <w:start w:val="1"/>
      <w:numFmt w:val="lowerLetter"/>
      <w:lvlText w:val="%1)"/>
      <w:lvlJc w:val="left"/>
      <w:pPr>
        <w:ind w:left="1068" w:hanging="360"/>
      </w:p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11" w15:restartNumberingAfterBreak="0">
    <w:nsid w:val="61456B71"/>
    <w:multiLevelType w:val="hybridMultilevel"/>
    <w:tmpl w:val="E5F8FAC8"/>
    <w:lvl w:ilvl="0" w:tplc="692647A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1862A43"/>
    <w:multiLevelType w:val="hybridMultilevel"/>
    <w:tmpl w:val="8A344D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8B0CA8"/>
    <w:multiLevelType w:val="hybridMultilevel"/>
    <w:tmpl w:val="5B7ABEB0"/>
    <w:lvl w:ilvl="0" w:tplc="0E2E55BA">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476681372">
    <w:abstractNumId w:val="12"/>
  </w:num>
  <w:num w:numId="2" w16cid:durableId="439225052">
    <w:abstractNumId w:val="9"/>
  </w:num>
  <w:num w:numId="3" w16cid:durableId="1463842737">
    <w:abstractNumId w:val="2"/>
  </w:num>
  <w:num w:numId="4" w16cid:durableId="1849716384">
    <w:abstractNumId w:val="6"/>
  </w:num>
  <w:num w:numId="5" w16cid:durableId="1116604639">
    <w:abstractNumId w:val="0"/>
  </w:num>
  <w:num w:numId="6" w16cid:durableId="46610686">
    <w:abstractNumId w:val="5"/>
  </w:num>
  <w:num w:numId="7" w16cid:durableId="151455646">
    <w:abstractNumId w:val="8"/>
  </w:num>
  <w:num w:numId="8" w16cid:durableId="3298705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3529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95000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4624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7324594">
    <w:abstractNumId w:val="13"/>
  </w:num>
  <w:num w:numId="13" w16cid:durableId="1583681516">
    <w:abstractNumId w:val="1"/>
  </w:num>
  <w:num w:numId="14" w16cid:durableId="20290652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A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664"/>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5DA1"/>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15"/>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1F7C"/>
    <w:rsid w:val="002A25AE"/>
    <w:rsid w:val="002B3DF1"/>
    <w:rsid w:val="002B52EB"/>
    <w:rsid w:val="002B5B2E"/>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AB1"/>
    <w:rsid w:val="00392F9B"/>
    <w:rsid w:val="00394595"/>
    <w:rsid w:val="003945FF"/>
    <w:rsid w:val="0039465E"/>
    <w:rsid w:val="00394FB3"/>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1A7F"/>
    <w:rsid w:val="004925F2"/>
    <w:rsid w:val="004A66C3"/>
    <w:rsid w:val="004A66CF"/>
    <w:rsid w:val="004B17DA"/>
    <w:rsid w:val="004C020F"/>
    <w:rsid w:val="004C3198"/>
    <w:rsid w:val="004E3969"/>
    <w:rsid w:val="004F45AB"/>
    <w:rsid w:val="00501528"/>
    <w:rsid w:val="00503EE6"/>
    <w:rsid w:val="005069C1"/>
    <w:rsid w:val="00510583"/>
    <w:rsid w:val="00510F4C"/>
    <w:rsid w:val="00514229"/>
    <w:rsid w:val="005156EC"/>
    <w:rsid w:val="005168A4"/>
    <w:rsid w:val="0052117E"/>
    <w:rsid w:val="00521B91"/>
    <w:rsid w:val="0052348C"/>
    <w:rsid w:val="005252D2"/>
    <w:rsid w:val="00530C92"/>
    <w:rsid w:val="00535AD8"/>
    <w:rsid w:val="00547103"/>
    <w:rsid w:val="00554EDA"/>
    <w:rsid w:val="00560848"/>
    <w:rsid w:val="00570137"/>
    <w:rsid w:val="0057200E"/>
    <w:rsid w:val="00572A0F"/>
    <w:rsid w:val="00574FE0"/>
    <w:rsid w:val="00576BE3"/>
    <w:rsid w:val="00576D2D"/>
    <w:rsid w:val="00583FC8"/>
    <w:rsid w:val="00584F88"/>
    <w:rsid w:val="005859EB"/>
    <w:rsid w:val="00587CF5"/>
    <w:rsid w:val="00587DF4"/>
    <w:rsid w:val="00597E2F"/>
    <w:rsid w:val="005A0387"/>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5782"/>
    <w:rsid w:val="0064120B"/>
    <w:rsid w:val="00643C08"/>
    <w:rsid w:val="00644BA9"/>
    <w:rsid w:val="0064692C"/>
    <w:rsid w:val="00653F68"/>
    <w:rsid w:val="00666D95"/>
    <w:rsid w:val="006802C4"/>
    <w:rsid w:val="0068429A"/>
    <w:rsid w:val="00685C08"/>
    <w:rsid w:val="00685FDD"/>
    <w:rsid w:val="006912A7"/>
    <w:rsid w:val="006912DC"/>
    <w:rsid w:val="006923AC"/>
    <w:rsid w:val="00693676"/>
    <w:rsid w:val="006A5611"/>
    <w:rsid w:val="006A56D2"/>
    <w:rsid w:val="006A71DE"/>
    <w:rsid w:val="006A76D7"/>
    <w:rsid w:val="006B0743"/>
    <w:rsid w:val="006B2D23"/>
    <w:rsid w:val="006B3EF4"/>
    <w:rsid w:val="006B6247"/>
    <w:rsid w:val="006C1E77"/>
    <w:rsid w:val="006C231A"/>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7FF2"/>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635F"/>
    <w:rsid w:val="008576F6"/>
    <w:rsid w:val="00857713"/>
    <w:rsid w:val="008629D8"/>
    <w:rsid w:val="00862C21"/>
    <w:rsid w:val="00871F12"/>
    <w:rsid w:val="008739C7"/>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5EDF"/>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4E51"/>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53F3"/>
    <w:rsid w:val="00B468CC"/>
    <w:rsid w:val="00B52FB3"/>
    <w:rsid w:val="00B5429C"/>
    <w:rsid w:val="00B54655"/>
    <w:rsid w:val="00B6045F"/>
    <w:rsid w:val="00B6058C"/>
    <w:rsid w:val="00B60BEA"/>
    <w:rsid w:val="00B7242A"/>
    <w:rsid w:val="00B8071F"/>
    <w:rsid w:val="00B82B4E"/>
    <w:rsid w:val="00B8420E"/>
    <w:rsid w:val="00B87CF7"/>
    <w:rsid w:val="00B90CE1"/>
    <w:rsid w:val="00BA03E0"/>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2FF"/>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7CEF"/>
    <w:rsid w:val="00DC0952"/>
    <w:rsid w:val="00DC2340"/>
    <w:rsid w:val="00DC30DA"/>
    <w:rsid w:val="00DC529F"/>
    <w:rsid w:val="00DE0F07"/>
    <w:rsid w:val="00DE2323"/>
    <w:rsid w:val="00DE287B"/>
    <w:rsid w:val="00DE603B"/>
    <w:rsid w:val="00DF129D"/>
    <w:rsid w:val="00DF4371"/>
    <w:rsid w:val="00DF5B57"/>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B5DA5"/>
    <w:rsid w:val="00EB7926"/>
    <w:rsid w:val="00EC1621"/>
    <w:rsid w:val="00EC1FF0"/>
    <w:rsid w:val="00EC662E"/>
    <w:rsid w:val="00ED07FE"/>
    <w:rsid w:val="00ED0B7D"/>
    <w:rsid w:val="00EE049D"/>
    <w:rsid w:val="00EE2721"/>
    <w:rsid w:val="00EE2A0B"/>
    <w:rsid w:val="00EE5EE2"/>
    <w:rsid w:val="00EF6029"/>
    <w:rsid w:val="00F12C15"/>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 w:val="00FF3B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34BC"/>
  <w15:chartTrackingRefBased/>
  <w15:docId w15:val="{3199C6AB-FAE5-4B80-9018-27186F52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qFormat/>
    <w:rsid w:val="004C3198"/>
    <w:pPr>
      <w:keepNext/>
      <w:keepLines/>
      <w:tabs>
        <w:tab w:val="clear" w:pos="340"/>
        <w:tab w:val="clear" w:pos="595"/>
        <w:tab w:val="clear" w:pos="851"/>
      </w:tabs>
      <w:spacing w:before="240" w:line="240" w:lineRule="auto"/>
      <w:outlineLvl w:val="0"/>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955EDF"/>
    <w:rPr>
      <w:color w:val="0000FF"/>
      <w:u w:val="single"/>
    </w:rPr>
  </w:style>
  <w:style w:type="paragraph" w:styleId="Funotentext">
    <w:name w:val="footnote text"/>
    <w:basedOn w:val="Standard"/>
    <w:link w:val="FunotentextZchn"/>
    <w:uiPriority w:val="99"/>
    <w:semiHidden/>
    <w:unhideWhenUsed/>
    <w:rsid w:val="00955EDF"/>
    <w:pPr>
      <w:tabs>
        <w:tab w:val="clear" w:pos="340"/>
        <w:tab w:val="clear" w:pos="595"/>
        <w:tab w:val="clear" w:pos="851"/>
      </w:tabs>
      <w:spacing w:line="240" w:lineRule="auto"/>
    </w:pPr>
    <w:rPr>
      <w:rFonts w:asciiTheme="minorHAnsi" w:hAnsiTheme="minorHAnsi"/>
      <w:kern w:val="2"/>
      <w:sz w:val="20"/>
      <w:szCs w:val="20"/>
      <w14:ligatures w14:val="standardContextual"/>
    </w:rPr>
  </w:style>
  <w:style w:type="character" w:customStyle="1" w:styleId="FunotentextZchn">
    <w:name w:val="Fußnotentext Zchn"/>
    <w:basedOn w:val="Absatz-Standardschriftart"/>
    <w:link w:val="Funotentext"/>
    <w:uiPriority w:val="99"/>
    <w:semiHidden/>
    <w:rsid w:val="00955EDF"/>
    <w:rPr>
      <w:kern w:val="2"/>
      <w:sz w:val="20"/>
      <w:szCs w:val="20"/>
      <w14:ligatures w14:val="standardContextual"/>
    </w:rPr>
  </w:style>
  <w:style w:type="character" w:styleId="Funotenzeichen">
    <w:name w:val="footnote reference"/>
    <w:basedOn w:val="Absatz-Standardschriftart"/>
    <w:uiPriority w:val="99"/>
    <w:semiHidden/>
    <w:unhideWhenUsed/>
    <w:rsid w:val="00955EDF"/>
    <w:rPr>
      <w:vertAlign w:val="superscript"/>
    </w:rPr>
  </w:style>
  <w:style w:type="character" w:styleId="NichtaufgelsteErwhnung">
    <w:name w:val="Unresolved Mention"/>
    <w:basedOn w:val="Absatz-Standardschriftart"/>
    <w:uiPriority w:val="99"/>
    <w:semiHidden/>
    <w:unhideWhenUsed/>
    <w:rsid w:val="00EB5DA5"/>
    <w:rPr>
      <w:color w:val="605E5C"/>
      <w:shd w:val="clear" w:color="auto" w:fill="E1DFDD"/>
    </w:rPr>
  </w:style>
  <w:style w:type="character" w:customStyle="1" w:styleId="mw-mmv-source">
    <w:name w:val="mw-mmv-source"/>
    <w:basedOn w:val="Absatz-Standardschriftart"/>
    <w:rsid w:val="00955EDF"/>
  </w:style>
  <w:style w:type="paragraph" w:styleId="Endnotentext">
    <w:name w:val="endnote text"/>
    <w:basedOn w:val="Standard"/>
    <w:link w:val="EndnotentextZchn"/>
    <w:uiPriority w:val="99"/>
    <w:semiHidden/>
    <w:unhideWhenUsed/>
    <w:rsid w:val="002B5B2E"/>
    <w:pPr>
      <w:spacing w:line="240" w:lineRule="auto"/>
    </w:pPr>
    <w:rPr>
      <w:sz w:val="20"/>
      <w:szCs w:val="20"/>
    </w:rPr>
  </w:style>
  <w:style w:type="character" w:customStyle="1" w:styleId="EndnotentextZchn">
    <w:name w:val="Endnotentext Zchn"/>
    <w:basedOn w:val="Absatz-Standardschriftart"/>
    <w:link w:val="Endnotentext"/>
    <w:uiPriority w:val="99"/>
    <w:semiHidden/>
    <w:rsid w:val="002B5B2E"/>
    <w:rPr>
      <w:rFonts w:ascii="Arial" w:hAnsi="Arial"/>
      <w:sz w:val="20"/>
      <w:szCs w:val="20"/>
    </w:rPr>
  </w:style>
  <w:style w:type="character" w:styleId="Endnotenzeichen">
    <w:name w:val="endnote reference"/>
    <w:basedOn w:val="Absatz-Standardschriftart"/>
    <w:uiPriority w:val="99"/>
    <w:semiHidden/>
    <w:unhideWhenUsed/>
    <w:rsid w:val="002B5B2E"/>
    <w:rPr>
      <w:vertAlign w:val="superscript"/>
    </w:rPr>
  </w:style>
  <w:style w:type="character" w:customStyle="1" w:styleId="berschrift1Zchn">
    <w:name w:val="Überschrift 1 Zchn"/>
    <w:basedOn w:val="Absatz-Standardschriftart"/>
    <w:link w:val="berschrift1"/>
    <w:uiPriority w:val="9"/>
    <w:rsid w:val="004C3198"/>
    <w:rPr>
      <w:rFonts w:asciiTheme="majorHAnsi" w:eastAsiaTheme="majorEastAsia" w:hAnsiTheme="majorHAnsi" w:cstheme="majorBidi"/>
      <w:color w:val="2E74B5"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9488">
      <w:bodyDiv w:val="1"/>
      <w:marLeft w:val="0"/>
      <w:marRight w:val="0"/>
      <w:marTop w:val="0"/>
      <w:marBottom w:val="0"/>
      <w:divBdr>
        <w:top w:val="none" w:sz="0" w:space="0" w:color="auto"/>
        <w:left w:val="none" w:sz="0" w:space="0" w:color="auto"/>
        <w:bottom w:val="none" w:sz="0" w:space="0" w:color="auto"/>
        <w:right w:val="none" w:sz="0" w:space="0" w:color="auto"/>
      </w:divBdr>
    </w:div>
    <w:div w:id="880284354">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 w:id="135229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79160-7ADF-4807-ABB1-05B60D33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6</cp:revision>
  <cp:lastPrinted>2016-12-23T16:36:00Z</cp:lastPrinted>
  <dcterms:created xsi:type="dcterms:W3CDTF">2023-12-01T10:32:00Z</dcterms:created>
  <dcterms:modified xsi:type="dcterms:W3CDTF">2023-12-15T10:59:00Z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